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9D433">
      <w:pPr>
        <w:spacing w:after="0" w:line="360" w:lineRule="auto"/>
        <w:rPr>
          <w:rFonts w:hint="eastAsia" w:ascii="Times New Roman" w:hAnsi="Times New Roman" w:eastAsia="仿宋"/>
          <w:b/>
          <w:bCs/>
          <w:sz w:val="32"/>
          <w:lang w:val="en-US" w:eastAsia="zh-CN"/>
        </w:rPr>
      </w:pPr>
      <w:r>
        <w:rPr>
          <w:rFonts w:hint="eastAsia" w:ascii="Times New Roman" w:hAnsi="Times New Roman" w:eastAsia="仿宋"/>
          <w:b/>
          <w:bCs/>
          <w:sz w:val="32"/>
          <w:lang w:val="en-US" w:eastAsia="zh-CN"/>
        </w:rPr>
        <w:t>附件2-采购</w:t>
      </w:r>
      <w:r>
        <w:rPr>
          <w:rFonts w:ascii="Times New Roman" w:hAnsi="Times New Roman" w:eastAsia="仿宋"/>
          <w:b/>
          <w:bCs/>
          <w:sz w:val="32"/>
        </w:rPr>
        <w:t>需求调查</w:t>
      </w:r>
      <w:r>
        <w:rPr>
          <w:rFonts w:hint="eastAsia" w:ascii="Times New Roman" w:hAnsi="Times New Roman" w:eastAsia="仿宋"/>
          <w:b/>
          <w:bCs/>
          <w:sz w:val="32"/>
          <w:lang w:val="en-US" w:eastAsia="zh-CN"/>
        </w:rPr>
        <w:t>问卷</w:t>
      </w:r>
    </w:p>
    <w:p w14:paraId="49BC05F7">
      <w:pPr>
        <w:spacing w:after="0" w:line="360" w:lineRule="auto"/>
        <w:rPr>
          <w:rFonts w:ascii="Times New Roman" w:hAnsi="Times New Roman" w:eastAsia="仿宋"/>
          <w:b w:val="0"/>
          <w:sz w:val="32"/>
        </w:rPr>
      </w:pPr>
    </w:p>
    <w:p w14:paraId="553C203A">
      <w:pPr>
        <w:spacing w:after="0" w:line="360" w:lineRule="auto"/>
        <w:rPr>
          <w:rFonts w:ascii="Times New Roman" w:hAnsi="Times New Roman" w:eastAsia="仿宋"/>
          <w:b w:val="0"/>
          <w:sz w:val="32"/>
        </w:rPr>
      </w:pPr>
      <w:r>
        <w:rPr>
          <w:rFonts w:ascii="Times New Roman" w:hAnsi="Times New Roman" w:eastAsia="仿宋"/>
          <w:b w:val="0"/>
          <w:sz w:val="32"/>
        </w:rPr>
        <w:t>项目名称：东莞市大岭山森林公园2027—2028年度广场、景点、园区道路及基础设施绿化养护与卫生保洁项目</w:t>
      </w:r>
    </w:p>
    <w:p w14:paraId="5F96B693">
      <w:pPr>
        <w:spacing w:after="0" w:line="360" w:lineRule="auto"/>
      </w:pPr>
      <w:r>
        <w:rPr>
          <w:rFonts w:ascii="Times New Roman" w:hAnsi="Times New Roman" w:eastAsia="仿宋"/>
          <w:b w:val="0"/>
          <w:sz w:val="32"/>
        </w:rPr>
        <w:t>（分A包：虎门景区、B包</w:t>
      </w:r>
      <w:bookmarkStart w:id="0" w:name="_GoBack"/>
      <w:bookmarkEnd w:id="0"/>
      <w:r>
        <w:rPr>
          <w:rFonts w:ascii="Times New Roman" w:hAnsi="Times New Roman" w:eastAsia="仿宋"/>
          <w:b w:val="0"/>
          <w:sz w:val="32"/>
        </w:rPr>
        <w:t>：长安景区及大岭山景区、C包：厚街景区三个采购包）</w:t>
      </w:r>
    </w:p>
    <w:p w14:paraId="075C7B7F">
      <w:pPr>
        <w:spacing w:after="0" w:line="360" w:lineRule="auto"/>
        <w:rPr>
          <w:rFonts w:ascii="Times New Roman" w:hAnsi="Times New Roman" w:eastAsia="仿宋"/>
          <w:b w:val="0"/>
          <w:sz w:val="32"/>
        </w:rPr>
      </w:pPr>
    </w:p>
    <w:p w14:paraId="4E886A0F">
      <w:pPr>
        <w:spacing w:after="0" w:line="360" w:lineRule="auto"/>
        <w:rPr>
          <w:rFonts w:ascii="Times New Roman" w:hAnsi="Times New Roman" w:eastAsia="仿宋"/>
          <w:b w:val="0"/>
          <w:sz w:val="32"/>
        </w:rPr>
      </w:pPr>
    </w:p>
    <w:p w14:paraId="557907A2">
      <w:pPr>
        <w:spacing w:after="0" w:line="360" w:lineRule="auto"/>
      </w:pPr>
      <w:r>
        <w:rPr>
          <w:rFonts w:ascii="Times New Roman" w:hAnsi="Times New Roman" w:eastAsia="仿宋"/>
          <w:b w:val="0"/>
          <w:sz w:val="32"/>
        </w:rPr>
        <w:t>服务内容：绿化养护（乔木、灌木、地被、草坪等浇水、施肥、修剪、除杂、补植、病虫害防治、防台风应急）、卫生保洁（广场、景点、道路、步径、停车场、公厕等）、有害生物防治及相关配套设施维护。</w:t>
      </w:r>
    </w:p>
    <w:p w14:paraId="48A81021">
      <w:pPr>
        <w:rPr>
          <w:rFonts w:ascii="Times New Roman" w:hAnsi="Times New Roman" w:eastAsia="仿宋"/>
          <w:b/>
          <w:sz w:val="32"/>
        </w:rPr>
      </w:pPr>
      <w:r>
        <w:rPr>
          <w:rFonts w:ascii="Times New Roman" w:hAnsi="Times New Roman" w:eastAsia="仿宋"/>
          <w:b/>
          <w:sz w:val="32"/>
        </w:rPr>
        <w:br w:type="page"/>
      </w:r>
    </w:p>
    <w:p w14:paraId="28DB1515">
      <w:pPr>
        <w:spacing w:after="0" w:line="360" w:lineRule="auto"/>
      </w:pPr>
      <w:r>
        <w:rPr>
          <w:rFonts w:ascii="Times New Roman" w:hAnsi="Times New Roman" w:eastAsia="仿宋"/>
          <w:b/>
          <w:sz w:val="32"/>
        </w:rPr>
        <w:t>（一）相关产业发展（调查应当选择真实、有效的信息，信息来源应当有依据且符合当前市场实际情况，不得随意编造。）</w:t>
      </w:r>
    </w:p>
    <w:p w14:paraId="5AF5D1BE">
      <w:pPr>
        <w:spacing w:after="0" w:line="360" w:lineRule="auto"/>
      </w:pPr>
      <w:r>
        <w:rPr>
          <w:rFonts w:ascii="Times New Roman" w:hAnsi="Times New Roman" w:eastAsia="仿宋"/>
          <w:b w:val="0"/>
          <w:sz w:val="32"/>
        </w:rPr>
        <w:t>1.现有绿化养护与卫生保洁服务行业的技术路线、工艺水平、技术水平或行业的发展历程、行业现状等：</w:t>
      </w:r>
    </w:p>
    <w:p w14:paraId="038B1F57">
      <w:pPr>
        <w:spacing w:after="0" w:line="360" w:lineRule="auto"/>
      </w:pPr>
      <w:r>
        <w:rPr>
          <w:rFonts w:ascii="Times New Roman" w:hAnsi="Times New Roman" w:eastAsia="仿宋"/>
          <w:b w:val="0"/>
          <w:sz w:val="32"/>
        </w:rPr>
        <w:t>（1）当前绿化养护服务的主要技术路线与工艺水平（如机械化作业程度、节水灌溉技术、病虫害绿色防治技术、园林废弃物资源化利用等）：</w:t>
      </w:r>
    </w:p>
    <w:p w14:paraId="30114B74">
      <w:pPr>
        <w:spacing w:after="0"/>
      </w:pPr>
    </w:p>
    <w:p w14:paraId="701597A0">
      <w:pPr>
        <w:spacing w:after="0"/>
      </w:pPr>
    </w:p>
    <w:p w14:paraId="0E98DAA6">
      <w:pPr>
        <w:spacing w:after="0"/>
      </w:pPr>
    </w:p>
    <w:p w14:paraId="47EE2FA1">
      <w:pPr>
        <w:spacing w:after="0"/>
      </w:pPr>
    </w:p>
    <w:p w14:paraId="273C9694">
      <w:pPr>
        <w:spacing w:after="0" w:line="360" w:lineRule="auto"/>
      </w:pPr>
      <w:r>
        <w:rPr>
          <w:rFonts w:ascii="Times New Roman" w:hAnsi="Times New Roman" w:eastAsia="仿宋"/>
          <w:b w:val="0"/>
          <w:sz w:val="32"/>
        </w:rPr>
        <w:t>（2）卫生保洁服务行业的作业模式与技术水平（如机械化清扫比例、智慧环卫管理系统应用情况等）：</w:t>
      </w:r>
    </w:p>
    <w:p w14:paraId="354B8548">
      <w:pPr>
        <w:spacing w:after="0"/>
      </w:pPr>
    </w:p>
    <w:p w14:paraId="3112D6C9">
      <w:pPr>
        <w:spacing w:after="0"/>
      </w:pPr>
    </w:p>
    <w:p w14:paraId="40E952E6">
      <w:pPr>
        <w:spacing w:after="0"/>
      </w:pPr>
    </w:p>
    <w:p w14:paraId="05B84F5C">
      <w:pPr>
        <w:spacing w:after="0"/>
      </w:pPr>
    </w:p>
    <w:p w14:paraId="620409AE">
      <w:pPr>
        <w:spacing w:after="0" w:line="360" w:lineRule="auto"/>
      </w:pPr>
      <w:r>
        <w:rPr>
          <w:rFonts w:ascii="Times New Roman" w:hAnsi="Times New Roman" w:eastAsia="仿宋"/>
          <w:b w:val="0"/>
          <w:sz w:val="32"/>
        </w:rPr>
        <w:t>（3）绿化养护与卫生保洁服务行业的发展历程与现状（市场规模、行业集中度、发展趋势等）：</w:t>
      </w:r>
    </w:p>
    <w:p w14:paraId="48F52F8D">
      <w:pPr>
        <w:spacing w:after="0"/>
      </w:pPr>
    </w:p>
    <w:p w14:paraId="582D7CB4">
      <w:pPr>
        <w:spacing w:after="0"/>
      </w:pPr>
    </w:p>
    <w:p w14:paraId="3ABC5E37">
      <w:pPr>
        <w:spacing w:after="0"/>
      </w:pPr>
    </w:p>
    <w:p w14:paraId="6593231B">
      <w:pPr>
        <w:spacing w:after="0"/>
      </w:pPr>
    </w:p>
    <w:p w14:paraId="4E2C9EBC">
      <w:pPr>
        <w:spacing w:after="0" w:line="360" w:lineRule="auto"/>
      </w:pPr>
      <w:r>
        <w:rPr>
          <w:rFonts w:ascii="Times New Roman" w:hAnsi="Times New Roman" w:eastAsia="仿宋"/>
          <w:b w:val="0"/>
          <w:sz w:val="32"/>
        </w:rPr>
        <w:t>2.可能涉及的企业资质、产品资质、人员资质：</w:t>
      </w:r>
    </w:p>
    <w:p w14:paraId="7405FDDC">
      <w:pPr>
        <w:spacing w:after="0" w:line="360" w:lineRule="auto"/>
      </w:pPr>
      <w:r>
        <w:rPr>
          <w:rFonts w:ascii="Times New Roman" w:hAnsi="Times New Roman" w:eastAsia="仿宋"/>
          <w:b w:val="0"/>
          <w:sz w:val="32"/>
        </w:rPr>
        <w:t>（1）承接本项目绿化养护与卫生保洁服务，市场通行的企业资质或能力证明有哪些：</w:t>
      </w:r>
    </w:p>
    <w:p w14:paraId="5ACF195D">
      <w:pPr>
        <w:spacing w:after="0"/>
      </w:pPr>
    </w:p>
    <w:p w14:paraId="07A07957">
      <w:pPr>
        <w:spacing w:after="0"/>
      </w:pPr>
    </w:p>
    <w:p w14:paraId="249E9689">
      <w:pPr>
        <w:spacing w:after="0"/>
      </w:pPr>
    </w:p>
    <w:p w14:paraId="103E876F">
      <w:pPr>
        <w:spacing w:after="0"/>
      </w:pPr>
    </w:p>
    <w:p w14:paraId="6F9D0F19">
      <w:pPr>
        <w:spacing w:after="0" w:line="360" w:lineRule="auto"/>
      </w:pPr>
      <w:r>
        <w:rPr>
          <w:rFonts w:ascii="Times New Roman" w:hAnsi="Times New Roman" w:eastAsia="仿宋"/>
          <w:b w:val="0"/>
          <w:sz w:val="32"/>
        </w:rPr>
        <w:t>（2）从事绿化养护、卫生保洁、公厕维护、有害生物防治等工作所需的人员资质或技能证书有哪些（如园林绿化工程师、绿化工、花卉园艺工、有害生物防制员、电工证等）：</w:t>
      </w:r>
    </w:p>
    <w:p w14:paraId="6A0BBC34">
      <w:pPr>
        <w:spacing w:after="0"/>
      </w:pPr>
    </w:p>
    <w:p w14:paraId="72E3B459">
      <w:pPr>
        <w:spacing w:after="0"/>
      </w:pPr>
    </w:p>
    <w:p w14:paraId="066EFA14">
      <w:pPr>
        <w:spacing w:after="0"/>
      </w:pPr>
    </w:p>
    <w:p w14:paraId="567D1540">
      <w:pPr>
        <w:spacing w:after="0"/>
      </w:pPr>
    </w:p>
    <w:p w14:paraId="70DB75E9">
      <w:pPr>
        <w:spacing w:after="0" w:line="360" w:lineRule="auto"/>
      </w:pPr>
      <w:r>
        <w:rPr>
          <w:rFonts w:ascii="Times New Roman" w:hAnsi="Times New Roman" w:eastAsia="仿宋"/>
          <w:b w:val="0"/>
          <w:sz w:val="32"/>
        </w:rPr>
        <w:t>（3）本项目要求至少1名人员（大专及以上学历）持有林业、园林、园艺、风景园林等相关专业工程师中级及以上职称证书，该要求是否合理、是否具备充分的市场人才供给：</w:t>
      </w:r>
    </w:p>
    <w:p w14:paraId="45286C7A">
      <w:pPr>
        <w:spacing w:after="0"/>
      </w:pPr>
    </w:p>
    <w:p w14:paraId="70446B71">
      <w:pPr>
        <w:spacing w:after="0"/>
      </w:pPr>
    </w:p>
    <w:p w14:paraId="229056B3">
      <w:pPr>
        <w:spacing w:after="0"/>
      </w:pPr>
    </w:p>
    <w:p w14:paraId="13142AD9">
      <w:pPr>
        <w:spacing w:after="0"/>
      </w:pPr>
    </w:p>
    <w:p w14:paraId="171D55A0">
      <w:pPr>
        <w:spacing w:after="0" w:line="360" w:lineRule="auto"/>
      </w:pPr>
      <w:r>
        <w:rPr>
          <w:rFonts w:ascii="Times New Roman" w:hAnsi="Times New Roman" w:eastAsia="仿宋"/>
          <w:b w:val="0"/>
          <w:sz w:val="32"/>
        </w:rPr>
        <w:t>3.涉及的相关标准和规范：</w:t>
      </w:r>
    </w:p>
    <w:p w14:paraId="3C105358">
      <w:pPr>
        <w:spacing w:after="0" w:line="360" w:lineRule="auto"/>
      </w:pPr>
      <w:r>
        <w:rPr>
          <w:rFonts w:ascii="Times New Roman" w:hAnsi="Times New Roman" w:eastAsia="仿宋"/>
          <w:b w:val="0"/>
          <w:sz w:val="32"/>
        </w:rPr>
        <w:t>（1）绿化养护相关的国家、行业、地方标准或规范（如园林绿化养护标准、城市绿地养护管理规范等）及主要技术指标：</w:t>
      </w:r>
    </w:p>
    <w:p w14:paraId="43E0DB79">
      <w:pPr>
        <w:spacing w:after="0"/>
      </w:pPr>
    </w:p>
    <w:p w14:paraId="51560F9A">
      <w:pPr>
        <w:spacing w:after="0"/>
      </w:pPr>
    </w:p>
    <w:p w14:paraId="2EBDD7D1">
      <w:pPr>
        <w:spacing w:after="0"/>
      </w:pPr>
    </w:p>
    <w:p w14:paraId="141812BE">
      <w:pPr>
        <w:spacing w:after="0"/>
      </w:pPr>
    </w:p>
    <w:p w14:paraId="3C9A8D26">
      <w:pPr>
        <w:spacing w:after="0" w:line="360" w:lineRule="auto"/>
      </w:pPr>
      <w:r>
        <w:rPr>
          <w:rFonts w:ascii="Times New Roman" w:hAnsi="Times New Roman" w:eastAsia="仿宋"/>
          <w:b w:val="0"/>
          <w:sz w:val="32"/>
        </w:rPr>
        <w:t>（2）环境卫生保洁相关的标准或规范（如城市环境卫生质量标准、公厕保洁管理规范等）：</w:t>
      </w:r>
    </w:p>
    <w:p w14:paraId="3636D2F9">
      <w:pPr>
        <w:spacing w:after="0"/>
      </w:pPr>
    </w:p>
    <w:p w14:paraId="63E43CD0">
      <w:pPr>
        <w:spacing w:after="0"/>
      </w:pPr>
    </w:p>
    <w:p w14:paraId="6802162F">
      <w:pPr>
        <w:spacing w:after="0"/>
      </w:pPr>
    </w:p>
    <w:p w14:paraId="2EB4A201">
      <w:pPr>
        <w:spacing w:after="0"/>
      </w:pPr>
    </w:p>
    <w:p w14:paraId="47B0330C">
      <w:pPr>
        <w:spacing w:after="0" w:line="360" w:lineRule="auto"/>
      </w:pPr>
      <w:r>
        <w:rPr>
          <w:rFonts w:ascii="Times New Roman" w:hAnsi="Times New Roman" w:eastAsia="仿宋"/>
          <w:b w:val="0"/>
          <w:sz w:val="32"/>
        </w:rPr>
        <w:t>（3）农药使用安全、森林防火、安全生产等相关强制性标准或规范（如《农药安全使用规范总则》等）：</w:t>
      </w:r>
    </w:p>
    <w:p w14:paraId="12866AF3">
      <w:pPr>
        <w:spacing w:after="0"/>
      </w:pPr>
    </w:p>
    <w:p w14:paraId="26738A0B">
      <w:pPr>
        <w:spacing w:after="0"/>
      </w:pPr>
    </w:p>
    <w:p w14:paraId="4A8EB87F">
      <w:pPr>
        <w:spacing w:after="0"/>
      </w:pPr>
    </w:p>
    <w:p w14:paraId="38345784">
      <w:pPr>
        <w:spacing w:after="0"/>
      </w:pPr>
    </w:p>
    <w:p w14:paraId="4D25A913">
      <w:pPr>
        <w:spacing w:after="0" w:line="360" w:lineRule="auto"/>
      </w:pPr>
      <w:r>
        <w:rPr>
          <w:rFonts w:ascii="Times New Roman" w:hAnsi="Times New Roman" w:eastAsia="仿宋"/>
          <w:b/>
          <w:sz w:val="32"/>
        </w:rPr>
        <w:t>（二）市场供给（调查应当选择真实、有效的信息，信息来源应当有依据且符合当前市场实际情况，不得随意编造。）</w:t>
      </w:r>
    </w:p>
    <w:p w14:paraId="4F23A54A">
      <w:pPr>
        <w:spacing w:after="0" w:line="360" w:lineRule="auto"/>
      </w:pPr>
      <w:r>
        <w:rPr>
          <w:rFonts w:ascii="Times New Roman" w:hAnsi="Times New Roman" w:eastAsia="仿宋"/>
          <w:b w:val="0"/>
          <w:sz w:val="32"/>
        </w:rPr>
        <w:t>1.市场竞争程度：</w:t>
      </w:r>
    </w:p>
    <w:p w14:paraId="6AA3D076">
      <w:pPr>
        <w:spacing w:after="0" w:line="360" w:lineRule="auto"/>
      </w:pPr>
      <w:r>
        <w:rPr>
          <w:rFonts w:ascii="Times New Roman" w:hAnsi="Times New Roman" w:eastAsia="仿宋"/>
          <w:b w:val="0"/>
          <w:sz w:val="32"/>
        </w:rPr>
        <w:t>（1）据贵单位了解，东莞地区及周边具备承接本项目（绿化养护＋卫生保洁综合服务）能力的供应商数量情况：</w:t>
      </w:r>
    </w:p>
    <w:p w14:paraId="65175349">
      <w:pPr>
        <w:spacing w:after="0"/>
      </w:pPr>
    </w:p>
    <w:p w14:paraId="7AD82DA0">
      <w:pPr>
        <w:spacing w:after="0"/>
      </w:pPr>
    </w:p>
    <w:p w14:paraId="7807979D">
      <w:pPr>
        <w:spacing w:after="0"/>
      </w:pPr>
    </w:p>
    <w:p w14:paraId="2AB7C96A">
      <w:pPr>
        <w:spacing w:after="0"/>
      </w:pPr>
    </w:p>
    <w:p w14:paraId="0968AF48">
      <w:pPr>
        <w:spacing w:after="0" w:line="360" w:lineRule="auto"/>
      </w:pPr>
      <w:r>
        <w:rPr>
          <w:rFonts w:ascii="Times New Roman" w:hAnsi="Times New Roman" w:eastAsia="仿宋"/>
          <w:b w:val="0"/>
          <w:sz w:val="32"/>
        </w:rPr>
        <w:t>（2）本项目划分为三个采购包（A包虎门景区、B包长安及大岭山景区、C包厚街景区），各包竞争程度如何、是否有利于充分竞争：</w:t>
      </w:r>
    </w:p>
    <w:p w14:paraId="72318A42">
      <w:pPr>
        <w:spacing w:after="0"/>
      </w:pPr>
    </w:p>
    <w:p w14:paraId="42D62958">
      <w:pPr>
        <w:spacing w:after="0"/>
      </w:pPr>
    </w:p>
    <w:p w14:paraId="1064BDDC">
      <w:pPr>
        <w:spacing w:after="0"/>
      </w:pPr>
    </w:p>
    <w:p w14:paraId="0F7068BC">
      <w:pPr>
        <w:spacing w:after="0"/>
      </w:pPr>
    </w:p>
    <w:p w14:paraId="01667AC3">
      <w:pPr>
        <w:spacing w:after="0" w:line="360" w:lineRule="auto"/>
      </w:pPr>
      <w:r>
        <w:rPr>
          <w:rFonts w:ascii="Times New Roman" w:hAnsi="Times New Roman" w:eastAsia="仿宋"/>
          <w:b w:val="0"/>
          <w:sz w:val="32"/>
        </w:rPr>
        <w:t>（3）是否存在可能影响市场竞争的条款或条件（如人员、设备、业绩等要求是否设置过高）：</w:t>
      </w:r>
    </w:p>
    <w:p w14:paraId="5B30779C">
      <w:pPr>
        <w:spacing w:after="0"/>
      </w:pPr>
    </w:p>
    <w:p w14:paraId="5D772D71">
      <w:pPr>
        <w:spacing w:after="0"/>
      </w:pPr>
    </w:p>
    <w:p w14:paraId="187B4489">
      <w:pPr>
        <w:spacing w:after="0"/>
      </w:pPr>
    </w:p>
    <w:p w14:paraId="6FAFACFA">
      <w:pPr>
        <w:spacing w:after="0"/>
      </w:pPr>
    </w:p>
    <w:p w14:paraId="5482ED60">
      <w:pPr>
        <w:spacing w:after="0" w:line="360" w:lineRule="auto"/>
      </w:pPr>
      <w:r>
        <w:rPr>
          <w:rFonts w:ascii="Times New Roman" w:hAnsi="Times New Roman" w:eastAsia="仿宋"/>
          <w:b w:val="0"/>
          <w:sz w:val="32"/>
        </w:rPr>
        <w:t>2.价格水平或价格构成：</w:t>
      </w:r>
    </w:p>
    <w:p w14:paraId="5F987021">
      <w:pPr>
        <w:spacing w:after="0" w:line="360" w:lineRule="auto"/>
      </w:pPr>
      <w:r>
        <w:rPr>
          <w:rFonts w:ascii="Times New Roman" w:hAnsi="Times New Roman" w:eastAsia="仿宋"/>
          <w:b w:val="0"/>
          <w:sz w:val="32"/>
        </w:rPr>
        <w:t>（1）绿化养护服务市场参考价格水平（元/平方米/年）及主要成本构成（人工、肥料、农药、机械、管理等）：</w:t>
      </w:r>
    </w:p>
    <w:p w14:paraId="7655CE0A">
      <w:pPr>
        <w:spacing w:after="0"/>
      </w:pPr>
    </w:p>
    <w:p w14:paraId="3D254195">
      <w:pPr>
        <w:spacing w:after="0"/>
      </w:pPr>
    </w:p>
    <w:p w14:paraId="0E2DCE76">
      <w:pPr>
        <w:spacing w:after="0"/>
      </w:pPr>
    </w:p>
    <w:p w14:paraId="760CF883">
      <w:pPr>
        <w:spacing w:after="0"/>
      </w:pPr>
    </w:p>
    <w:p w14:paraId="0E2566BA">
      <w:pPr>
        <w:spacing w:after="0" w:line="360" w:lineRule="auto"/>
      </w:pPr>
      <w:r>
        <w:rPr>
          <w:rFonts w:ascii="Times New Roman" w:hAnsi="Times New Roman" w:eastAsia="仿宋"/>
          <w:b w:val="0"/>
          <w:sz w:val="32"/>
        </w:rPr>
        <w:t>（2）卫生保洁服务市场参考价格水平（元/平方米/年）及主要成本构成（人工、垃圾清运、耗材、管理等）：</w:t>
      </w:r>
    </w:p>
    <w:p w14:paraId="4A0A6FC7">
      <w:pPr>
        <w:spacing w:after="0"/>
      </w:pPr>
    </w:p>
    <w:p w14:paraId="6FCF8A00">
      <w:pPr>
        <w:spacing w:after="0"/>
      </w:pPr>
    </w:p>
    <w:p w14:paraId="30583EE5">
      <w:pPr>
        <w:spacing w:after="0"/>
      </w:pPr>
    </w:p>
    <w:p w14:paraId="5629E400">
      <w:pPr>
        <w:spacing w:after="0"/>
      </w:pPr>
    </w:p>
    <w:p w14:paraId="353AEA27">
      <w:pPr>
        <w:spacing w:after="0" w:line="360" w:lineRule="auto"/>
      </w:pPr>
      <w:r>
        <w:rPr>
          <w:rFonts w:ascii="Times New Roman" w:hAnsi="Times New Roman" w:eastAsia="仿宋"/>
          <w:b w:val="0"/>
          <w:sz w:val="32"/>
        </w:rPr>
        <w:t>（3）公厕保洁服务市场参考价格水平（元/座/年）：</w:t>
      </w:r>
    </w:p>
    <w:p w14:paraId="5F3A00D8">
      <w:pPr>
        <w:spacing w:after="0"/>
      </w:pPr>
    </w:p>
    <w:p w14:paraId="7DDDE2A8">
      <w:pPr>
        <w:spacing w:after="0"/>
      </w:pPr>
    </w:p>
    <w:p w14:paraId="2924AB94">
      <w:pPr>
        <w:spacing w:after="0"/>
      </w:pPr>
    </w:p>
    <w:p w14:paraId="40F40ED5">
      <w:pPr>
        <w:spacing w:after="0"/>
      </w:pPr>
    </w:p>
    <w:p w14:paraId="4244682B">
      <w:pPr>
        <w:spacing w:after="0" w:line="360" w:lineRule="auto"/>
      </w:pPr>
      <w:r>
        <w:rPr>
          <w:rFonts w:ascii="Times New Roman" w:hAnsi="Times New Roman" w:eastAsia="仿宋"/>
          <w:b w:val="0"/>
          <w:sz w:val="32"/>
        </w:rPr>
        <w:t>（4）本项目预算单价（绿化养护4.5元/㎡/年、卫生保洁3.3元/㎡/年、公厕保洁28,900元/座/年）与市场行情相比是否合理：</w:t>
      </w:r>
    </w:p>
    <w:p w14:paraId="2FE09859">
      <w:pPr>
        <w:spacing w:after="0"/>
      </w:pPr>
    </w:p>
    <w:p w14:paraId="05D7FD7D">
      <w:pPr>
        <w:spacing w:after="0"/>
      </w:pPr>
    </w:p>
    <w:p w14:paraId="5779CF1A">
      <w:pPr>
        <w:spacing w:after="0"/>
      </w:pPr>
    </w:p>
    <w:p w14:paraId="1E07E067">
      <w:pPr>
        <w:spacing w:after="0"/>
      </w:pPr>
    </w:p>
    <w:p w14:paraId="73658E5F">
      <w:pPr>
        <w:spacing w:after="0" w:line="360" w:lineRule="auto"/>
      </w:pPr>
      <w:r>
        <w:rPr>
          <w:rFonts w:ascii="Times New Roman" w:hAnsi="Times New Roman" w:eastAsia="仿宋"/>
          <w:b w:val="0"/>
          <w:sz w:val="32"/>
        </w:rPr>
        <w:t>3.潜在供应商的数量、履约能力、售后服务能力：</w:t>
      </w:r>
    </w:p>
    <w:p w14:paraId="3DAB605C">
      <w:pPr>
        <w:spacing w:after="0" w:line="360" w:lineRule="auto"/>
      </w:pPr>
      <w:r>
        <w:rPr>
          <w:rFonts w:ascii="Times New Roman" w:hAnsi="Times New Roman" w:eastAsia="仿宋"/>
          <w:b w:val="0"/>
          <w:sz w:val="32"/>
        </w:rPr>
        <w:t>（1）潜在供应商数量及主要企业情况：</w:t>
      </w:r>
    </w:p>
    <w:p w14:paraId="5716731B">
      <w:pPr>
        <w:spacing w:after="0"/>
      </w:pPr>
    </w:p>
    <w:p w14:paraId="4DB73E91">
      <w:pPr>
        <w:spacing w:after="0"/>
      </w:pPr>
    </w:p>
    <w:p w14:paraId="2B7FC694">
      <w:pPr>
        <w:spacing w:after="0"/>
      </w:pPr>
    </w:p>
    <w:p w14:paraId="2A3250D8">
      <w:pPr>
        <w:spacing w:after="0"/>
      </w:pPr>
    </w:p>
    <w:p w14:paraId="44A4F76C">
      <w:pPr>
        <w:spacing w:after="0" w:line="360" w:lineRule="auto"/>
      </w:pPr>
      <w:r>
        <w:rPr>
          <w:rFonts w:ascii="Times New Roman" w:hAnsi="Times New Roman" w:eastAsia="仿宋"/>
          <w:b w:val="0"/>
          <w:sz w:val="32"/>
        </w:rPr>
        <w:t>（2）潜在供应商的人员储备、设备配备、专业技术能力等履约能力情况：</w:t>
      </w:r>
    </w:p>
    <w:p w14:paraId="300D5EFD">
      <w:pPr>
        <w:spacing w:after="0"/>
      </w:pPr>
    </w:p>
    <w:p w14:paraId="543FC8AD">
      <w:pPr>
        <w:spacing w:after="0"/>
      </w:pPr>
    </w:p>
    <w:p w14:paraId="658BB6B9">
      <w:pPr>
        <w:spacing w:after="0"/>
      </w:pPr>
    </w:p>
    <w:p w14:paraId="0349B2B4">
      <w:pPr>
        <w:spacing w:after="0"/>
      </w:pPr>
    </w:p>
    <w:p w14:paraId="20EAE152">
      <w:pPr>
        <w:spacing w:after="0" w:line="360" w:lineRule="auto"/>
      </w:pPr>
      <w:r>
        <w:rPr>
          <w:rFonts w:ascii="Times New Roman" w:hAnsi="Times New Roman" w:eastAsia="仿宋"/>
          <w:b w:val="0"/>
          <w:sz w:val="32"/>
        </w:rPr>
        <w:t>（3）潜在供应商的售后服务能力（应急响应、节假日保障、投诉处理、台账管理等）：</w:t>
      </w:r>
    </w:p>
    <w:p w14:paraId="2FB05D46">
      <w:pPr>
        <w:spacing w:after="0"/>
      </w:pPr>
    </w:p>
    <w:p w14:paraId="55E5CEB4">
      <w:pPr>
        <w:spacing w:after="0"/>
      </w:pPr>
    </w:p>
    <w:p w14:paraId="591C1022">
      <w:pPr>
        <w:spacing w:after="0"/>
      </w:pPr>
    </w:p>
    <w:p w14:paraId="2CE96BFE">
      <w:pPr>
        <w:spacing w:after="0"/>
      </w:pPr>
    </w:p>
    <w:p w14:paraId="3C25BFE6">
      <w:pPr>
        <w:spacing w:after="0" w:line="360" w:lineRule="auto"/>
      </w:pPr>
      <w:r>
        <w:rPr>
          <w:rFonts w:ascii="Times New Roman" w:hAnsi="Times New Roman" w:eastAsia="仿宋"/>
          <w:b/>
          <w:sz w:val="32"/>
        </w:rPr>
        <w:t>（三）同类采购项目历史成交信息（调查应当选择真实、有效的信息，信息来源应当有依据且符合当前市场实际情况，不得随意编造。）</w:t>
      </w:r>
    </w:p>
    <w:p w14:paraId="2B9DC601">
      <w:pPr>
        <w:spacing w:after="0" w:line="360" w:lineRule="auto"/>
      </w:pPr>
      <w:r>
        <w:rPr>
          <w:rFonts w:ascii="Times New Roman" w:hAnsi="Times New Roman" w:eastAsia="仿宋"/>
          <w:b w:val="0"/>
          <w:sz w:val="32"/>
        </w:rPr>
        <w:t>请贵单位提供了解的绿化养护或卫生保洁类政府采购项目历史成交信息（可填写多个）：</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133"/>
        <w:gridCol w:w="1291"/>
        <w:gridCol w:w="1186"/>
        <w:gridCol w:w="976"/>
        <w:gridCol w:w="1081"/>
        <w:gridCol w:w="1186"/>
        <w:gridCol w:w="1186"/>
      </w:tblGrid>
      <w:tr w14:paraId="5802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6F8F5F5C">
            <w:pPr>
              <w:spacing w:after="0" w:line="240" w:lineRule="auto"/>
              <w:jc w:val="center"/>
            </w:pPr>
            <w:r>
              <w:rPr>
                <w:rFonts w:ascii="Times New Roman" w:hAnsi="Times New Roman" w:eastAsia="仿宋"/>
                <w:b/>
                <w:sz w:val="21"/>
              </w:rPr>
              <w:t>序号</w:t>
            </w:r>
          </w:p>
        </w:tc>
        <w:tc>
          <w:tcPr>
            <w:tcW w:w="1191" w:type="dxa"/>
          </w:tcPr>
          <w:p w14:paraId="3307F0BF">
            <w:pPr>
              <w:spacing w:after="0" w:line="240" w:lineRule="auto"/>
              <w:jc w:val="center"/>
            </w:pPr>
            <w:r>
              <w:rPr>
                <w:rFonts w:ascii="Times New Roman" w:hAnsi="Times New Roman" w:eastAsia="仿宋"/>
                <w:b/>
                <w:sz w:val="21"/>
              </w:rPr>
              <w:t>采购人</w:t>
            </w:r>
          </w:p>
        </w:tc>
        <w:tc>
          <w:tcPr>
            <w:tcW w:w="1361" w:type="dxa"/>
          </w:tcPr>
          <w:p w14:paraId="75945138">
            <w:pPr>
              <w:spacing w:after="0" w:line="240" w:lineRule="auto"/>
              <w:jc w:val="center"/>
            </w:pPr>
            <w:r>
              <w:rPr>
                <w:rFonts w:ascii="Times New Roman" w:hAnsi="Times New Roman" w:eastAsia="仿宋"/>
                <w:b/>
                <w:sz w:val="21"/>
              </w:rPr>
              <w:t>项目名称</w:t>
            </w:r>
          </w:p>
        </w:tc>
        <w:tc>
          <w:tcPr>
            <w:tcW w:w="1247" w:type="dxa"/>
          </w:tcPr>
          <w:p w14:paraId="0853CF9E">
            <w:pPr>
              <w:spacing w:after="0" w:line="240" w:lineRule="auto"/>
              <w:jc w:val="center"/>
            </w:pPr>
            <w:r>
              <w:rPr>
                <w:rFonts w:ascii="Times New Roman" w:hAnsi="Times New Roman" w:eastAsia="仿宋"/>
                <w:b/>
                <w:sz w:val="21"/>
              </w:rPr>
              <w:t>项目预算</w:t>
            </w:r>
          </w:p>
        </w:tc>
        <w:tc>
          <w:tcPr>
            <w:tcW w:w="1020" w:type="dxa"/>
          </w:tcPr>
          <w:p w14:paraId="6E289771">
            <w:pPr>
              <w:spacing w:after="0" w:line="240" w:lineRule="auto"/>
              <w:jc w:val="center"/>
            </w:pPr>
            <w:r>
              <w:rPr>
                <w:rFonts w:ascii="Times New Roman" w:hAnsi="Times New Roman" w:eastAsia="仿宋"/>
                <w:b/>
                <w:sz w:val="21"/>
              </w:rPr>
              <w:t>中标人</w:t>
            </w:r>
          </w:p>
        </w:tc>
        <w:tc>
          <w:tcPr>
            <w:tcW w:w="1134" w:type="dxa"/>
          </w:tcPr>
          <w:p w14:paraId="4AD16203">
            <w:pPr>
              <w:spacing w:after="0" w:line="240" w:lineRule="auto"/>
              <w:jc w:val="center"/>
            </w:pPr>
            <w:r>
              <w:rPr>
                <w:rFonts w:ascii="Times New Roman" w:hAnsi="Times New Roman" w:eastAsia="仿宋"/>
                <w:b/>
                <w:sz w:val="21"/>
              </w:rPr>
              <w:t>中标价</w:t>
            </w:r>
          </w:p>
        </w:tc>
        <w:tc>
          <w:tcPr>
            <w:tcW w:w="1247" w:type="dxa"/>
          </w:tcPr>
          <w:p w14:paraId="2ADBA0ED">
            <w:pPr>
              <w:spacing w:after="0" w:line="240" w:lineRule="auto"/>
              <w:jc w:val="center"/>
            </w:pPr>
            <w:r>
              <w:rPr>
                <w:rFonts w:ascii="Times New Roman" w:hAnsi="Times New Roman" w:eastAsia="仿宋"/>
                <w:b/>
                <w:sz w:val="21"/>
              </w:rPr>
              <w:t>服务期限</w:t>
            </w:r>
          </w:p>
        </w:tc>
        <w:tc>
          <w:tcPr>
            <w:tcW w:w="1247" w:type="dxa"/>
          </w:tcPr>
          <w:p w14:paraId="2764EF40">
            <w:pPr>
              <w:spacing w:after="0" w:line="240" w:lineRule="auto"/>
              <w:jc w:val="center"/>
            </w:pPr>
            <w:r>
              <w:rPr>
                <w:rFonts w:ascii="Times New Roman" w:hAnsi="Times New Roman" w:eastAsia="仿宋"/>
                <w:b/>
                <w:sz w:val="21"/>
              </w:rPr>
              <w:t>中标单价</w:t>
            </w:r>
          </w:p>
        </w:tc>
      </w:tr>
      <w:tr w14:paraId="34DB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438CB0FF">
            <w:pPr>
              <w:spacing w:after="0" w:line="240" w:lineRule="auto"/>
              <w:jc w:val="center"/>
            </w:pPr>
          </w:p>
        </w:tc>
        <w:tc>
          <w:tcPr>
            <w:tcW w:w="1191" w:type="dxa"/>
          </w:tcPr>
          <w:p w14:paraId="601C809D">
            <w:pPr>
              <w:spacing w:after="0" w:line="240" w:lineRule="auto"/>
              <w:jc w:val="center"/>
            </w:pPr>
          </w:p>
        </w:tc>
        <w:tc>
          <w:tcPr>
            <w:tcW w:w="1361" w:type="dxa"/>
          </w:tcPr>
          <w:p w14:paraId="70A3DBA3">
            <w:pPr>
              <w:spacing w:after="0" w:line="240" w:lineRule="auto"/>
              <w:jc w:val="center"/>
            </w:pPr>
          </w:p>
        </w:tc>
        <w:tc>
          <w:tcPr>
            <w:tcW w:w="1247" w:type="dxa"/>
          </w:tcPr>
          <w:p w14:paraId="609B25E4">
            <w:pPr>
              <w:spacing w:after="0" w:line="240" w:lineRule="auto"/>
              <w:jc w:val="center"/>
            </w:pPr>
          </w:p>
        </w:tc>
        <w:tc>
          <w:tcPr>
            <w:tcW w:w="1020" w:type="dxa"/>
          </w:tcPr>
          <w:p w14:paraId="0A142868">
            <w:pPr>
              <w:spacing w:after="0" w:line="240" w:lineRule="auto"/>
              <w:jc w:val="center"/>
            </w:pPr>
          </w:p>
        </w:tc>
        <w:tc>
          <w:tcPr>
            <w:tcW w:w="1134" w:type="dxa"/>
          </w:tcPr>
          <w:p w14:paraId="31FD10F3">
            <w:pPr>
              <w:spacing w:after="0" w:line="240" w:lineRule="auto"/>
              <w:jc w:val="center"/>
            </w:pPr>
          </w:p>
        </w:tc>
        <w:tc>
          <w:tcPr>
            <w:tcW w:w="1247" w:type="dxa"/>
          </w:tcPr>
          <w:p w14:paraId="78545E94">
            <w:pPr>
              <w:spacing w:after="0" w:line="240" w:lineRule="auto"/>
              <w:jc w:val="center"/>
            </w:pPr>
          </w:p>
        </w:tc>
        <w:tc>
          <w:tcPr>
            <w:tcW w:w="1247" w:type="dxa"/>
          </w:tcPr>
          <w:p w14:paraId="01C8DEC6">
            <w:pPr>
              <w:spacing w:after="0" w:line="240" w:lineRule="auto"/>
              <w:jc w:val="center"/>
            </w:pPr>
          </w:p>
        </w:tc>
      </w:tr>
      <w:tr w14:paraId="4AB6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164EC608">
            <w:pPr>
              <w:spacing w:after="0" w:line="240" w:lineRule="auto"/>
              <w:jc w:val="center"/>
            </w:pPr>
          </w:p>
        </w:tc>
        <w:tc>
          <w:tcPr>
            <w:tcW w:w="1191" w:type="dxa"/>
          </w:tcPr>
          <w:p w14:paraId="60846195">
            <w:pPr>
              <w:spacing w:after="0" w:line="240" w:lineRule="auto"/>
              <w:jc w:val="center"/>
            </w:pPr>
          </w:p>
        </w:tc>
        <w:tc>
          <w:tcPr>
            <w:tcW w:w="1361" w:type="dxa"/>
          </w:tcPr>
          <w:p w14:paraId="5FC8FBB5">
            <w:pPr>
              <w:spacing w:after="0" w:line="240" w:lineRule="auto"/>
              <w:jc w:val="center"/>
            </w:pPr>
          </w:p>
        </w:tc>
        <w:tc>
          <w:tcPr>
            <w:tcW w:w="1247" w:type="dxa"/>
          </w:tcPr>
          <w:p w14:paraId="27CB5913">
            <w:pPr>
              <w:spacing w:after="0" w:line="240" w:lineRule="auto"/>
              <w:jc w:val="center"/>
            </w:pPr>
          </w:p>
        </w:tc>
        <w:tc>
          <w:tcPr>
            <w:tcW w:w="1020" w:type="dxa"/>
          </w:tcPr>
          <w:p w14:paraId="0F34574B">
            <w:pPr>
              <w:spacing w:after="0" w:line="240" w:lineRule="auto"/>
              <w:jc w:val="center"/>
            </w:pPr>
          </w:p>
        </w:tc>
        <w:tc>
          <w:tcPr>
            <w:tcW w:w="1134" w:type="dxa"/>
          </w:tcPr>
          <w:p w14:paraId="01BEE7EC">
            <w:pPr>
              <w:spacing w:after="0" w:line="240" w:lineRule="auto"/>
              <w:jc w:val="center"/>
            </w:pPr>
          </w:p>
        </w:tc>
        <w:tc>
          <w:tcPr>
            <w:tcW w:w="1247" w:type="dxa"/>
          </w:tcPr>
          <w:p w14:paraId="2C86FEFD">
            <w:pPr>
              <w:spacing w:after="0" w:line="240" w:lineRule="auto"/>
              <w:jc w:val="center"/>
            </w:pPr>
          </w:p>
        </w:tc>
        <w:tc>
          <w:tcPr>
            <w:tcW w:w="1247" w:type="dxa"/>
          </w:tcPr>
          <w:p w14:paraId="089FE460">
            <w:pPr>
              <w:spacing w:after="0" w:line="240" w:lineRule="auto"/>
              <w:jc w:val="center"/>
            </w:pPr>
          </w:p>
        </w:tc>
      </w:tr>
      <w:tr w14:paraId="6C23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Pr>
          <w:p w14:paraId="44430C36">
            <w:pPr>
              <w:spacing w:after="0" w:line="240" w:lineRule="auto"/>
              <w:jc w:val="center"/>
            </w:pPr>
          </w:p>
        </w:tc>
        <w:tc>
          <w:tcPr>
            <w:tcW w:w="1191" w:type="dxa"/>
          </w:tcPr>
          <w:p w14:paraId="331C9CD0">
            <w:pPr>
              <w:spacing w:after="0" w:line="240" w:lineRule="auto"/>
              <w:jc w:val="center"/>
            </w:pPr>
          </w:p>
        </w:tc>
        <w:tc>
          <w:tcPr>
            <w:tcW w:w="1361" w:type="dxa"/>
          </w:tcPr>
          <w:p w14:paraId="41E51337">
            <w:pPr>
              <w:spacing w:after="0" w:line="240" w:lineRule="auto"/>
              <w:jc w:val="center"/>
            </w:pPr>
          </w:p>
        </w:tc>
        <w:tc>
          <w:tcPr>
            <w:tcW w:w="1247" w:type="dxa"/>
          </w:tcPr>
          <w:p w14:paraId="7A0E5B32">
            <w:pPr>
              <w:spacing w:after="0" w:line="240" w:lineRule="auto"/>
              <w:jc w:val="center"/>
            </w:pPr>
          </w:p>
        </w:tc>
        <w:tc>
          <w:tcPr>
            <w:tcW w:w="1020" w:type="dxa"/>
          </w:tcPr>
          <w:p w14:paraId="66B7FBB4">
            <w:pPr>
              <w:spacing w:after="0" w:line="240" w:lineRule="auto"/>
              <w:jc w:val="center"/>
            </w:pPr>
          </w:p>
        </w:tc>
        <w:tc>
          <w:tcPr>
            <w:tcW w:w="1134" w:type="dxa"/>
          </w:tcPr>
          <w:p w14:paraId="4D7EDD41">
            <w:pPr>
              <w:spacing w:after="0" w:line="240" w:lineRule="auto"/>
              <w:jc w:val="center"/>
            </w:pPr>
          </w:p>
        </w:tc>
        <w:tc>
          <w:tcPr>
            <w:tcW w:w="1247" w:type="dxa"/>
          </w:tcPr>
          <w:p w14:paraId="18028F02">
            <w:pPr>
              <w:spacing w:after="0" w:line="240" w:lineRule="auto"/>
              <w:jc w:val="center"/>
            </w:pPr>
          </w:p>
        </w:tc>
        <w:tc>
          <w:tcPr>
            <w:tcW w:w="1247" w:type="dxa"/>
          </w:tcPr>
          <w:p w14:paraId="7AE807E2">
            <w:pPr>
              <w:spacing w:after="0" w:line="240" w:lineRule="auto"/>
              <w:jc w:val="center"/>
            </w:pPr>
          </w:p>
        </w:tc>
      </w:tr>
    </w:tbl>
    <w:p w14:paraId="3EC307BE">
      <w:pPr>
        <w:spacing w:after="0" w:line="360" w:lineRule="auto"/>
      </w:pPr>
    </w:p>
    <w:p w14:paraId="67E8A122">
      <w:pPr>
        <w:spacing w:after="0" w:line="360" w:lineRule="auto"/>
      </w:pPr>
      <w:r>
        <w:rPr>
          <w:rFonts w:ascii="Times New Roman" w:hAnsi="Times New Roman" w:eastAsia="仿宋"/>
          <w:b w:val="0"/>
          <w:sz w:val="32"/>
        </w:rPr>
        <w:t>同类项目历史成交单价参考（请贵单位提供市场真实成交信息）：绿化养护____元/㎡/年；卫生保洁____元/㎡/年；公厕保洁____元/座/年。</w:t>
      </w:r>
    </w:p>
    <w:p w14:paraId="3E48A71E">
      <w:pPr>
        <w:spacing w:after="0"/>
      </w:pPr>
    </w:p>
    <w:p w14:paraId="7BFD0E85">
      <w:pPr>
        <w:spacing w:after="0"/>
      </w:pPr>
    </w:p>
    <w:p w14:paraId="0447258F">
      <w:pPr>
        <w:spacing w:after="0" w:line="360" w:lineRule="auto"/>
      </w:pPr>
      <w:r>
        <w:rPr>
          <w:rFonts w:ascii="Times New Roman" w:hAnsi="Times New Roman" w:eastAsia="仿宋"/>
          <w:b/>
          <w:sz w:val="32"/>
        </w:rPr>
        <w:t>（四）后续采购情况（调查应当选择真实、有效的信息，信息来源应当有依据且符合当前市场实际情况，不得随意编造。）</w:t>
      </w:r>
    </w:p>
    <w:p w14:paraId="31B6C19D">
      <w:pPr>
        <w:spacing w:after="0" w:line="360" w:lineRule="auto"/>
      </w:pPr>
      <w:r>
        <w:rPr>
          <w:rFonts w:ascii="Times New Roman" w:hAnsi="Times New Roman" w:eastAsia="仿宋"/>
          <w:b w:val="0"/>
          <w:sz w:val="32"/>
        </w:rPr>
        <w:t>1.可能涉及的运行维护、升级更新、备品备件、耗材等情况：</w:t>
      </w:r>
    </w:p>
    <w:p w14:paraId="71E4CB29">
      <w:pPr>
        <w:spacing w:after="0" w:line="360" w:lineRule="auto"/>
      </w:pPr>
      <w:r>
        <w:rPr>
          <w:rFonts w:ascii="Times New Roman" w:hAnsi="Times New Roman" w:eastAsia="仿宋"/>
          <w:b w:val="0"/>
          <w:sz w:val="32"/>
        </w:rPr>
        <w:t>（1）本项目两年服务期内，绿化养护所需肥料（复合肥、有机肥）、农药、苗木补植等耗材物资的需求量及费用水平：</w:t>
      </w:r>
    </w:p>
    <w:p w14:paraId="044A94EB">
      <w:pPr>
        <w:spacing w:after="0"/>
      </w:pPr>
    </w:p>
    <w:p w14:paraId="069C4243">
      <w:pPr>
        <w:spacing w:after="0"/>
      </w:pPr>
    </w:p>
    <w:p w14:paraId="373B1E21">
      <w:pPr>
        <w:spacing w:after="0"/>
      </w:pPr>
    </w:p>
    <w:p w14:paraId="6F55B69C">
      <w:pPr>
        <w:spacing w:after="0"/>
      </w:pPr>
    </w:p>
    <w:p w14:paraId="6C87DB19">
      <w:pPr>
        <w:spacing w:after="0" w:line="360" w:lineRule="auto"/>
      </w:pPr>
      <w:r>
        <w:rPr>
          <w:rFonts w:ascii="Times New Roman" w:hAnsi="Times New Roman" w:eastAsia="仿宋"/>
          <w:b w:val="0"/>
          <w:sz w:val="32"/>
        </w:rPr>
        <w:t>（2）卫生保洁所需垃圾袋、清洁剂、维修配件等耗材物资的需求量及费用水平：</w:t>
      </w:r>
    </w:p>
    <w:p w14:paraId="40F5235B">
      <w:pPr>
        <w:spacing w:after="0"/>
      </w:pPr>
    </w:p>
    <w:p w14:paraId="3F74C021">
      <w:pPr>
        <w:spacing w:after="0"/>
      </w:pPr>
    </w:p>
    <w:p w14:paraId="46B7DAE8">
      <w:pPr>
        <w:spacing w:after="0"/>
      </w:pPr>
    </w:p>
    <w:p w14:paraId="38BE8275">
      <w:pPr>
        <w:spacing w:after="0"/>
      </w:pPr>
    </w:p>
    <w:p w14:paraId="5A502CB3">
      <w:pPr>
        <w:spacing w:after="0" w:line="360" w:lineRule="auto"/>
      </w:pPr>
      <w:r>
        <w:rPr>
          <w:rFonts w:ascii="Times New Roman" w:hAnsi="Times New Roman" w:eastAsia="仿宋"/>
          <w:b w:val="0"/>
          <w:sz w:val="32"/>
        </w:rPr>
        <w:t>（3）公厕设施（水龙头、冲水箱、感应器、照明等）日常维护维修的材料、配件供应及费用水平：</w:t>
      </w:r>
    </w:p>
    <w:p w14:paraId="475ECE14">
      <w:pPr>
        <w:spacing w:after="0"/>
      </w:pPr>
    </w:p>
    <w:p w14:paraId="3EE126B7">
      <w:pPr>
        <w:spacing w:after="0"/>
      </w:pPr>
    </w:p>
    <w:p w14:paraId="32C85FB7">
      <w:pPr>
        <w:spacing w:after="0"/>
      </w:pPr>
    </w:p>
    <w:p w14:paraId="66A95599">
      <w:pPr>
        <w:spacing w:after="0"/>
      </w:pPr>
    </w:p>
    <w:p w14:paraId="378A6B0D">
      <w:pPr>
        <w:spacing w:after="0" w:line="360" w:lineRule="auto"/>
      </w:pPr>
      <w:r>
        <w:rPr>
          <w:rFonts w:ascii="Times New Roman" w:hAnsi="Times New Roman" w:eastAsia="仿宋"/>
          <w:b w:val="0"/>
          <w:sz w:val="32"/>
        </w:rPr>
        <w:t>（4）服务期满后，是否存在设备、设施移交或继续采购的需求：</w:t>
      </w:r>
    </w:p>
    <w:p w14:paraId="6624BB0C">
      <w:pPr>
        <w:spacing w:after="0"/>
      </w:pPr>
    </w:p>
    <w:p w14:paraId="774C8F5D">
      <w:pPr>
        <w:spacing w:after="0"/>
      </w:pPr>
    </w:p>
    <w:p w14:paraId="21F47D5D">
      <w:pPr>
        <w:spacing w:after="0"/>
      </w:pPr>
    </w:p>
    <w:p w14:paraId="26EFA878">
      <w:pPr>
        <w:spacing w:after="0"/>
      </w:pPr>
    </w:p>
    <w:p w14:paraId="417143AF">
      <w:pPr>
        <w:spacing w:after="0" w:line="360" w:lineRule="auto"/>
      </w:pPr>
      <w:r>
        <w:rPr>
          <w:rFonts w:ascii="Times New Roman" w:hAnsi="Times New Roman" w:eastAsia="仿宋"/>
          <w:b/>
          <w:sz w:val="32"/>
        </w:rPr>
        <w:t>（五）其他情况（调查应当选择真实、有效的信息，信息来源应当有依据且符合当前市场实际情况，不得随意编造。）</w:t>
      </w:r>
    </w:p>
    <w:p w14:paraId="0FD15281">
      <w:pPr>
        <w:spacing w:after="0" w:line="360" w:lineRule="auto"/>
      </w:pPr>
      <w:r>
        <w:rPr>
          <w:rFonts w:ascii="Times New Roman" w:hAnsi="Times New Roman" w:eastAsia="仿宋"/>
          <w:b w:val="0"/>
          <w:sz w:val="32"/>
        </w:rPr>
        <w:t>1.本项目采用全包干形式（业务包干、经费包干），服务期两年，贵单位对该承包方式和合同期限的意见：</w:t>
      </w:r>
    </w:p>
    <w:p w14:paraId="67D96317">
      <w:pPr>
        <w:spacing w:after="0"/>
      </w:pPr>
    </w:p>
    <w:p w14:paraId="0C528804">
      <w:pPr>
        <w:spacing w:after="0"/>
      </w:pPr>
    </w:p>
    <w:p w14:paraId="75116525">
      <w:pPr>
        <w:spacing w:after="0"/>
      </w:pPr>
    </w:p>
    <w:p w14:paraId="6C2532A2">
      <w:pPr>
        <w:spacing w:after="0"/>
      </w:pPr>
    </w:p>
    <w:p w14:paraId="7F4805C0">
      <w:pPr>
        <w:spacing w:after="0" w:line="360" w:lineRule="auto"/>
      </w:pPr>
      <w:r>
        <w:rPr>
          <w:rFonts w:ascii="Times New Roman" w:hAnsi="Times New Roman" w:eastAsia="仿宋"/>
          <w:b w:val="0"/>
          <w:sz w:val="32"/>
        </w:rPr>
        <w:t>2.本项目付款方式（每年1—9月每月下旬预付当月费用、每季度考核验收结算、第四季度费用次年一季度结算）的接受程度及优化建议：</w:t>
      </w:r>
    </w:p>
    <w:p w14:paraId="3E3DDADD">
      <w:pPr>
        <w:spacing w:after="0"/>
      </w:pPr>
    </w:p>
    <w:p w14:paraId="5B8F067B">
      <w:pPr>
        <w:spacing w:after="0"/>
      </w:pPr>
    </w:p>
    <w:p w14:paraId="102B4E34">
      <w:pPr>
        <w:spacing w:after="0"/>
      </w:pPr>
    </w:p>
    <w:p w14:paraId="4A76708E">
      <w:pPr>
        <w:spacing w:after="0"/>
      </w:pPr>
    </w:p>
    <w:p w14:paraId="10856385">
      <w:pPr>
        <w:spacing w:after="0" w:line="360" w:lineRule="auto"/>
      </w:pPr>
      <w:r>
        <w:rPr>
          <w:rFonts w:ascii="Times New Roman" w:hAnsi="Times New Roman" w:eastAsia="仿宋"/>
          <w:b w:val="0"/>
          <w:sz w:val="32"/>
        </w:rPr>
        <w:t>3.本项目考核机制（月度考核评分、扣分与费用挂钩、连续2个月或累计3次为差可终止合同）的意见：</w:t>
      </w:r>
    </w:p>
    <w:p w14:paraId="40DD0906">
      <w:pPr>
        <w:spacing w:after="0"/>
      </w:pPr>
    </w:p>
    <w:p w14:paraId="646C0AD1">
      <w:pPr>
        <w:spacing w:after="0"/>
      </w:pPr>
    </w:p>
    <w:p w14:paraId="04C6D4E2">
      <w:pPr>
        <w:spacing w:after="0"/>
      </w:pPr>
    </w:p>
    <w:p w14:paraId="02F3BEB4">
      <w:pPr>
        <w:spacing w:after="0"/>
      </w:pPr>
    </w:p>
    <w:p w14:paraId="4734E732">
      <w:pPr>
        <w:spacing w:after="0" w:line="360" w:lineRule="auto"/>
      </w:pPr>
      <w:r>
        <w:rPr>
          <w:rFonts w:ascii="Times New Roman" w:hAnsi="Times New Roman" w:eastAsia="仿宋"/>
          <w:b w:val="0"/>
          <w:sz w:val="32"/>
        </w:rPr>
        <w:t>4.本项目应急响应要求（台风过后12小时内清理枯枝倒树、3天内扶正倒树歪树、5天内完成清运；接到扣分签证通知1小时内到场处理）的可行性意见：</w:t>
      </w:r>
    </w:p>
    <w:p w14:paraId="448FB0AB">
      <w:pPr>
        <w:spacing w:after="0"/>
      </w:pPr>
    </w:p>
    <w:p w14:paraId="48613985">
      <w:pPr>
        <w:spacing w:after="0"/>
      </w:pPr>
    </w:p>
    <w:p w14:paraId="7344807F">
      <w:pPr>
        <w:spacing w:after="0"/>
      </w:pPr>
    </w:p>
    <w:p w14:paraId="28A3900B">
      <w:pPr>
        <w:spacing w:after="0"/>
      </w:pPr>
    </w:p>
    <w:p w14:paraId="43CC797D">
      <w:pPr>
        <w:spacing w:after="0" w:line="360" w:lineRule="auto"/>
      </w:pPr>
      <w:r>
        <w:rPr>
          <w:rFonts w:ascii="Times New Roman" w:hAnsi="Times New Roman" w:eastAsia="仿宋"/>
          <w:b w:val="0"/>
          <w:sz w:val="32"/>
        </w:rPr>
        <w:t>5.贵单位认为采购人应关注的其他事项或对采购需求的建议：</w:t>
      </w:r>
    </w:p>
    <w:p w14:paraId="57E77DA0">
      <w:pPr>
        <w:spacing w:after="0"/>
      </w:pPr>
    </w:p>
    <w:p w14:paraId="4DFCD9C4">
      <w:pPr>
        <w:spacing w:after="0"/>
      </w:pPr>
    </w:p>
    <w:p w14:paraId="7824AA8B">
      <w:pPr>
        <w:spacing w:after="0"/>
      </w:pPr>
    </w:p>
    <w:p w14:paraId="5EAF1B98">
      <w:pPr>
        <w:spacing w:after="0"/>
      </w:pPr>
    </w:p>
    <w:p w14:paraId="22B86663">
      <w:pPr>
        <w:spacing w:after="0" w:line="360" w:lineRule="auto"/>
      </w:pPr>
      <w:r>
        <w:rPr>
          <w:rFonts w:ascii="Times New Roman" w:hAnsi="Times New Roman" w:eastAsia="仿宋"/>
          <w:b/>
          <w:sz w:val="32"/>
        </w:rPr>
        <w:t>（六）企业所属行业</w:t>
      </w:r>
    </w:p>
    <w:p w14:paraId="4030E8A5">
      <w:pPr>
        <w:spacing w:after="0" w:line="360" w:lineRule="auto"/>
      </w:pPr>
      <w:r>
        <w:rPr>
          <w:rFonts w:ascii="Times New Roman" w:hAnsi="Times New Roman" w:eastAsia="仿宋"/>
          <w:b w:val="0"/>
          <w:sz w:val="32"/>
        </w:rPr>
        <w:t>依据《关于印发中小企业划型标准规定的通知》（工信部联企业〔2011〕300号）文件规定，供应商所属行业：          （本项目所属行业为"其他未列明行业"），属于        （大型/中型/小型/微型）企业。</w:t>
      </w:r>
    </w:p>
    <w:p w14:paraId="6049691E">
      <w:pPr>
        <w:spacing w:after="0" w:line="360" w:lineRule="auto"/>
      </w:pPr>
    </w:p>
    <w:p w14:paraId="37376EFC">
      <w:pPr>
        <w:spacing w:after="0" w:line="360" w:lineRule="auto"/>
        <w:rPr>
          <w:rFonts w:ascii="Times New Roman" w:hAnsi="Times New Roman" w:eastAsia="仿宋"/>
          <w:b w:val="0"/>
          <w:sz w:val="32"/>
        </w:rPr>
      </w:pPr>
    </w:p>
    <w:p w14:paraId="33E93E22">
      <w:pPr>
        <w:spacing w:after="0" w:line="360" w:lineRule="auto"/>
        <w:rPr>
          <w:rFonts w:ascii="Times New Roman" w:hAnsi="Times New Roman" w:eastAsia="仿宋"/>
          <w:b w:val="0"/>
          <w:sz w:val="32"/>
        </w:rPr>
      </w:pPr>
    </w:p>
    <w:p w14:paraId="69D645F3">
      <w:pPr>
        <w:spacing w:after="0" w:line="360" w:lineRule="auto"/>
        <w:rPr>
          <w:rFonts w:ascii="Times New Roman" w:hAnsi="Times New Roman" w:eastAsia="仿宋"/>
          <w:b w:val="0"/>
          <w:sz w:val="32"/>
        </w:rPr>
      </w:pPr>
      <w:r>
        <w:rPr>
          <w:rFonts w:ascii="Times New Roman" w:hAnsi="Times New Roman" w:eastAsia="仿宋"/>
          <w:b w:val="0"/>
          <w:sz w:val="32"/>
        </w:rPr>
        <w:t>供应商名称（盖章）：____________________</w:t>
      </w:r>
    </w:p>
    <w:p w14:paraId="43040E0A">
      <w:pPr>
        <w:spacing w:after="0" w:line="360" w:lineRule="auto"/>
        <w:rPr>
          <w:rFonts w:ascii="Times New Roman" w:hAnsi="Times New Roman" w:eastAsia="仿宋"/>
          <w:b w:val="0"/>
          <w:sz w:val="32"/>
        </w:rPr>
      </w:pPr>
      <w:r>
        <w:rPr>
          <w:rFonts w:ascii="Times New Roman" w:hAnsi="Times New Roman" w:eastAsia="仿宋"/>
          <w:b w:val="0"/>
          <w:sz w:val="32"/>
        </w:rPr>
        <w:t>填表人：____________</w:t>
      </w:r>
    </w:p>
    <w:p w14:paraId="24483807">
      <w:pPr>
        <w:spacing w:after="0" w:line="360" w:lineRule="auto"/>
        <w:rPr>
          <w:rFonts w:ascii="Times New Roman" w:hAnsi="Times New Roman" w:eastAsia="仿宋"/>
          <w:b w:val="0"/>
          <w:sz w:val="32"/>
        </w:rPr>
      </w:pPr>
      <w:r>
        <w:rPr>
          <w:rFonts w:ascii="Times New Roman" w:hAnsi="Times New Roman" w:eastAsia="仿宋"/>
          <w:b w:val="0"/>
          <w:sz w:val="32"/>
        </w:rPr>
        <w:t>联系电话：____________</w:t>
      </w:r>
    </w:p>
    <w:p w14:paraId="6773191D">
      <w:pPr>
        <w:spacing w:after="0" w:line="360" w:lineRule="auto"/>
      </w:pPr>
      <w:r>
        <w:rPr>
          <w:rFonts w:ascii="Times New Roman" w:hAnsi="Times New Roman" w:eastAsia="仿宋"/>
          <w:b w:val="0"/>
          <w:sz w:val="32"/>
        </w:rPr>
        <w:t>填表日期：______年____月____日</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51841C5"/>
    <w:rsid w:val="69C408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2223</Words>
  <Characters>2362</Characters>
  <Lines>0</Lines>
  <Paragraphs>0</Paragraphs>
  <TotalTime>5</TotalTime>
  <ScaleCrop>false</ScaleCrop>
  <LinksUpToDate>false</LinksUpToDate>
  <CharactersWithSpaces>2380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HSGD</cp:lastModifiedBy>
  <dcterms:modified xsi:type="dcterms:W3CDTF">2026-10-13T01:42:21Z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eyJoZGlkIjoiOGFjMzhkZTNmZjYxZDM3ZTI3Y2U4MTU5MzRiOTg1MWQiLCJ1c2VySWQiOiI3MzQ2NjIyNjMifQ==</vt:lpwstr>
  </property>
  <property fmtid="{D5CDD505-2E9C-101B-9397-08002B2CF9AE}" pid="3" name="KSOProductBuildVer">
    <vt:lpwstr>2052-12.1.0.28488</vt:lpwstr>
  </property>
  <property fmtid="{D5CDD505-2E9C-101B-9397-08002B2CF9AE}" pid="4" name="ICV">
    <vt:lpwstr>C1888CCB9B2049BBBAB4E6FA2944F12D_13</vt:lpwstr>
  </property>
</Properties>
</file>