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33767C">
      <w:pPr>
        <w:pStyle w:val="15"/>
        <w:rPr>
          <w:rFonts w:hint="default"/>
          <w:color w:val="auto"/>
        </w:rPr>
      </w:pPr>
      <w:r>
        <w:rPr>
          <w:color w:val="auto"/>
        </w:rPr>
        <w:br w:type="textWrapping"/>
      </w:r>
      <w:r>
        <w:rPr>
          <w:color w:val="auto"/>
        </w:rPr>
        <w:br w:type="textWrapping"/>
      </w:r>
      <w:r>
        <w:rPr>
          <w:color w:val="auto"/>
        </w:rPr>
        <w:br w:type="textWrapping"/>
      </w:r>
      <w:r>
        <w:rPr>
          <w:color w:val="auto"/>
        </w:rPr>
        <w:br w:type="textWrapping"/>
      </w:r>
      <w:r>
        <w:rPr>
          <w:color w:val="auto"/>
        </w:rPr>
        <w:br w:type="textWrapping"/>
      </w:r>
    </w:p>
    <w:p w14:paraId="4C554D56">
      <w:pPr>
        <w:pStyle w:val="15"/>
        <w:jc w:val="center"/>
        <w:outlineLvl w:val="0"/>
        <w:rPr>
          <w:rFonts w:hint="default"/>
          <w:color w:val="auto"/>
        </w:rPr>
      </w:pPr>
      <w:r>
        <w:rPr>
          <w:b/>
          <w:color w:val="auto"/>
          <w:sz w:val="48"/>
        </w:rPr>
        <w:t>广东省政府采购</w:t>
      </w:r>
    </w:p>
    <w:p w14:paraId="7F84B15B">
      <w:pPr>
        <w:pStyle w:val="15"/>
        <w:rPr>
          <w:rFonts w:hint="default"/>
          <w:color w:val="auto"/>
        </w:rPr>
      </w:pPr>
      <w:r>
        <w:rPr>
          <w:color w:val="auto"/>
        </w:rPr>
        <w:t>　</w:t>
      </w:r>
    </w:p>
    <w:p w14:paraId="2094FD73">
      <w:pPr>
        <w:pStyle w:val="15"/>
        <w:rPr>
          <w:rFonts w:hint="default"/>
          <w:color w:val="auto"/>
        </w:rPr>
      </w:pPr>
      <w:r>
        <w:rPr>
          <w:color w:val="auto"/>
        </w:rPr>
        <w:t>　</w:t>
      </w:r>
    </w:p>
    <w:p w14:paraId="0ECBF554">
      <w:pPr>
        <w:pStyle w:val="15"/>
        <w:rPr>
          <w:rFonts w:hint="default"/>
          <w:color w:val="auto"/>
        </w:rPr>
      </w:pPr>
      <w:r>
        <w:rPr>
          <w:color w:val="auto"/>
        </w:rPr>
        <w:t>　</w:t>
      </w:r>
    </w:p>
    <w:p w14:paraId="418F551B">
      <w:pPr>
        <w:pStyle w:val="15"/>
        <w:jc w:val="center"/>
        <w:outlineLvl w:val="0"/>
        <w:rPr>
          <w:rFonts w:hint="default"/>
          <w:color w:val="auto"/>
        </w:rPr>
      </w:pPr>
      <w:r>
        <w:rPr>
          <w:rFonts w:hint="eastAsia"/>
          <w:b/>
          <w:color w:val="auto"/>
          <w:sz w:val="48"/>
          <w:lang w:val="en-US" w:eastAsia="zh-CN"/>
        </w:rPr>
        <w:t>采购需求公示</w:t>
      </w:r>
      <w:r>
        <w:rPr>
          <w:b/>
          <w:color w:val="auto"/>
          <w:sz w:val="48"/>
        </w:rPr>
        <w:t>文件</w:t>
      </w:r>
      <w:r>
        <w:rPr>
          <w:color w:val="auto"/>
        </w:rPr>
        <w:br w:type="textWrapping"/>
      </w:r>
      <w:r>
        <w:rPr>
          <w:color w:val="auto"/>
        </w:rPr>
        <w:br w:type="textWrapping"/>
      </w:r>
      <w:r>
        <w:rPr>
          <w:color w:val="auto"/>
        </w:rPr>
        <w:br w:type="textWrapping"/>
      </w:r>
      <w:r>
        <w:rPr>
          <w:color w:val="auto"/>
        </w:rPr>
        <w:br w:type="textWrapping"/>
      </w:r>
      <w:r>
        <w:rPr>
          <w:color w:val="auto"/>
        </w:rPr>
        <w:br w:type="textWrapping"/>
      </w:r>
      <w:r>
        <w:rPr>
          <w:color w:val="auto"/>
        </w:rPr>
        <w:br w:type="textWrapping"/>
      </w:r>
      <w:r>
        <w:rPr>
          <w:color w:val="auto"/>
        </w:rPr>
        <w:br w:type="textWrapping"/>
      </w:r>
      <w:r>
        <w:rPr>
          <w:color w:val="auto"/>
        </w:rPr>
        <w:br w:type="textWrapping"/>
      </w:r>
      <w:r>
        <w:rPr>
          <w:color w:val="auto"/>
        </w:rPr>
        <w:br w:type="textWrapping"/>
      </w:r>
      <w:r>
        <w:rPr>
          <w:color w:val="auto"/>
        </w:rPr>
        <w:br w:type="textWrapping"/>
      </w:r>
      <w:r>
        <w:rPr>
          <w:color w:val="auto"/>
        </w:rPr>
        <w:br w:type="textWrapping"/>
      </w:r>
      <w:r>
        <w:rPr>
          <w:color w:val="auto"/>
        </w:rPr>
        <w:br w:type="textWrapping"/>
      </w:r>
      <w:r>
        <w:rPr>
          <w:color w:val="auto"/>
        </w:rPr>
        <w:br w:type="textWrapping"/>
      </w:r>
      <w:r>
        <w:rPr>
          <w:color w:val="auto"/>
        </w:rPr>
        <w:br w:type="textWrapping"/>
      </w:r>
      <w:r>
        <w:rPr>
          <w:color w:val="auto"/>
        </w:rPr>
        <w:br w:type="textWrapping"/>
      </w:r>
      <w:r>
        <w:rPr>
          <w:color w:val="auto"/>
        </w:rPr>
        <w:br w:type="textWrapping"/>
      </w:r>
      <w:r>
        <w:rPr>
          <w:color w:val="auto"/>
        </w:rPr>
        <w:br w:type="textWrapping"/>
      </w:r>
      <w:r>
        <w:rPr>
          <w:color w:val="auto"/>
        </w:rPr>
        <w:br w:type="textWrapping"/>
      </w:r>
      <w:r>
        <w:rPr>
          <w:color w:val="auto"/>
        </w:rPr>
        <w:br w:type="textWrapping"/>
      </w:r>
      <w:r>
        <w:rPr>
          <w:color w:val="auto"/>
        </w:rPr>
        <w:br w:type="textWrapping"/>
      </w:r>
      <w:r>
        <w:rPr>
          <w:color w:val="auto"/>
        </w:rPr>
        <w:br w:type="textWrapping"/>
      </w:r>
    </w:p>
    <w:p w14:paraId="32C0D27D">
      <w:pPr>
        <w:pStyle w:val="15"/>
        <w:jc w:val="center"/>
        <w:outlineLvl w:val="3"/>
        <w:rPr>
          <w:rFonts w:hint="default"/>
          <w:color w:val="auto"/>
          <w:lang w:eastAsia="zh-CN"/>
        </w:rPr>
      </w:pPr>
      <w:r>
        <w:rPr>
          <w:b/>
          <w:color w:val="auto"/>
          <w:sz w:val="24"/>
        </w:rPr>
        <w:t>采购计划编号：</w:t>
      </w:r>
      <w:r>
        <w:rPr>
          <w:rFonts w:hint="eastAsia"/>
          <w:b/>
          <w:color w:val="auto"/>
          <w:sz w:val="24"/>
          <w:lang w:eastAsia="zh-CN"/>
        </w:rPr>
        <w:t>441XXX-2026-XXXXX</w:t>
      </w:r>
    </w:p>
    <w:p w14:paraId="2A57CB8B">
      <w:pPr>
        <w:pStyle w:val="15"/>
        <w:jc w:val="center"/>
        <w:outlineLvl w:val="3"/>
        <w:rPr>
          <w:rFonts w:hint="default"/>
          <w:color w:val="auto"/>
          <w:lang w:eastAsia="zh-CN"/>
        </w:rPr>
      </w:pPr>
      <w:r>
        <w:rPr>
          <w:b/>
          <w:color w:val="auto"/>
          <w:sz w:val="24"/>
        </w:rPr>
        <w:t>采购项目编号：</w:t>
      </w:r>
      <w:r>
        <w:rPr>
          <w:rFonts w:hint="eastAsia"/>
          <w:b/>
          <w:color w:val="auto"/>
          <w:sz w:val="24"/>
          <w:lang w:eastAsia="zh-CN"/>
        </w:rPr>
        <w:t>441XXX-2026-XXXXX</w:t>
      </w:r>
    </w:p>
    <w:p w14:paraId="05286DF0">
      <w:pPr>
        <w:pStyle w:val="15"/>
        <w:jc w:val="center"/>
        <w:outlineLvl w:val="3"/>
        <w:rPr>
          <w:rFonts w:hint="default"/>
          <w:color w:val="auto"/>
          <w:lang w:eastAsia="zh-CN"/>
        </w:rPr>
      </w:pPr>
      <w:r>
        <w:rPr>
          <w:b/>
          <w:color w:val="auto"/>
          <w:sz w:val="24"/>
        </w:rPr>
        <w:t>项目名称：</w:t>
      </w:r>
      <w:r>
        <w:rPr>
          <w:b/>
          <w:color w:val="auto"/>
          <w:sz w:val="24"/>
          <w:lang w:eastAsia="zh-CN"/>
        </w:rPr>
        <w:t>东莞市博物馆公共服务项目</w:t>
      </w:r>
    </w:p>
    <w:p w14:paraId="7B0E4CE0">
      <w:pPr>
        <w:pStyle w:val="15"/>
        <w:jc w:val="center"/>
        <w:outlineLvl w:val="3"/>
        <w:rPr>
          <w:rFonts w:hint="default"/>
          <w:color w:val="auto"/>
          <w:lang w:eastAsia="zh-CN"/>
        </w:rPr>
      </w:pPr>
      <w:r>
        <w:rPr>
          <w:b/>
          <w:color w:val="auto"/>
          <w:sz w:val="24"/>
        </w:rPr>
        <w:t>采购人：</w:t>
      </w:r>
      <w:r>
        <w:rPr>
          <w:b/>
          <w:color w:val="auto"/>
          <w:sz w:val="24"/>
          <w:lang w:eastAsia="zh-CN"/>
        </w:rPr>
        <w:t>东莞市博物馆</w:t>
      </w:r>
    </w:p>
    <w:p w14:paraId="6EA83285">
      <w:pPr>
        <w:pStyle w:val="15"/>
        <w:jc w:val="center"/>
        <w:outlineLvl w:val="3"/>
        <w:rPr>
          <w:rFonts w:hint="default"/>
          <w:color w:val="auto"/>
        </w:rPr>
      </w:pPr>
      <w:r>
        <w:rPr>
          <w:b/>
          <w:color w:val="auto"/>
          <w:sz w:val="24"/>
        </w:rPr>
        <w:t>采购代理机构：和盛咨询（广东）有限公司</w:t>
      </w:r>
    </w:p>
    <w:p w14:paraId="45A70FFA">
      <w:pPr>
        <w:pStyle w:val="15"/>
        <w:ind w:firstLine="480"/>
        <w:rPr>
          <w:rFonts w:hint="default"/>
          <w:color w:val="auto"/>
        </w:rPr>
      </w:pPr>
      <w:r>
        <w:rPr>
          <w:color w:val="auto"/>
        </w:rPr>
        <w:t xml:space="preserve">  </w:t>
      </w:r>
      <w:r>
        <w:rPr>
          <w:color w:val="auto"/>
        </w:rPr>
        <w:br w:type="textWrapping"/>
      </w:r>
    </w:p>
    <w:p w14:paraId="351CC6CF">
      <w:pPr>
        <w:rPr>
          <w:b/>
          <w:color w:val="auto"/>
          <w:sz w:val="36"/>
        </w:rPr>
      </w:pPr>
      <w:r>
        <w:rPr>
          <w:b/>
          <w:color w:val="auto"/>
          <w:sz w:val="36"/>
        </w:rPr>
        <w:br w:type="page"/>
      </w:r>
    </w:p>
    <w:p w14:paraId="023326EC">
      <w:pPr>
        <w:pStyle w:val="15"/>
        <w:spacing w:line="400" w:lineRule="exact"/>
        <w:jc w:val="center"/>
        <w:outlineLvl w:val="1"/>
        <w:rPr>
          <w:rFonts w:hint="default" w:ascii="宋体" w:hAnsi="宋体" w:eastAsia="宋体" w:cs="宋体"/>
          <w:color w:val="auto"/>
          <w:sz w:val="22"/>
          <w:szCs w:val="22"/>
        </w:rPr>
      </w:pPr>
      <w:r>
        <w:rPr>
          <w:rFonts w:ascii="宋体" w:hAnsi="宋体" w:eastAsia="宋体" w:cs="宋体"/>
          <w:b/>
          <w:color w:val="auto"/>
          <w:sz w:val="22"/>
          <w:szCs w:val="22"/>
        </w:rPr>
        <w:t>第二章 采购需求</w:t>
      </w:r>
    </w:p>
    <w:p w14:paraId="7F68D577">
      <w:pPr>
        <w:pStyle w:val="15"/>
        <w:spacing w:line="400" w:lineRule="exact"/>
        <w:outlineLvl w:val="2"/>
        <w:rPr>
          <w:rFonts w:hint="default" w:ascii="宋体" w:hAnsi="宋体" w:eastAsia="宋体" w:cs="宋体"/>
          <w:color w:val="auto"/>
          <w:sz w:val="22"/>
          <w:szCs w:val="22"/>
        </w:rPr>
      </w:pPr>
      <w:r>
        <w:rPr>
          <w:rFonts w:ascii="宋体" w:hAnsi="宋体" w:eastAsia="宋体" w:cs="宋体"/>
          <w:b/>
          <w:color w:val="auto"/>
          <w:sz w:val="22"/>
          <w:szCs w:val="22"/>
        </w:rPr>
        <w:t>一、项目概况：</w:t>
      </w:r>
    </w:p>
    <w:p w14:paraId="73D23D1A">
      <w:pPr>
        <w:pStyle w:val="15"/>
        <w:spacing w:line="400" w:lineRule="exact"/>
        <w:ind w:firstLine="440"/>
        <w:jc w:val="both"/>
        <w:rPr>
          <w:rFonts w:hint="default" w:ascii="宋体" w:hAnsi="宋体" w:eastAsia="宋体" w:cs="宋体"/>
          <w:color w:val="auto"/>
          <w:sz w:val="22"/>
          <w:szCs w:val="22"/>
        </w:rPr>
      </w:pPr>
      <w:r>
        <w:rPr>
          <w:rFonts w:ascii="宋体" w:hAnsi="宋体" w:eastAsia="宋体" w:cs="宋体"/>
          <w:color w:val="auto"/>
          <w:sz w:val="22"/>
          <w:szCs w:val="22"/>
        </w:rPr>
        <w:t>为深入落实国家文物局关于博物馆社会化服务、文物活化利用的相关政策要求，进一步推动我馆教育资源的深度开发与普惠应用，补齐当前公众服务供给能力缺口，规范馆内讲解服务、社教活动的运行管理，提升观众接待能力、完善社教课程体系化建设、加强公众服务精细化程度等问题，现拟通过公开招标方式，择优选定1家具备国家一级博物馆公共服务运营经验、专业的研学课程研发及执教能力并且拥有完善服务体系的合作方，承接我馆公益讲解接待、公益教育活动服务工作，为公众提供多元化、高品质的文化服务，满足全年龄段、多类型观众的文化需求。</w:t>
      </w:r>
    </w:p>
    <w:p w14:paraId="637EFD90">
      <w:pPr>
        <w:rPr>
          <w:rFonts w:ascii="宋体" w:hAnsi="宋体" w:eastAsia="宋体" w:cs="宋体"/>
          <w:color w:val="auto"/>
          <w:sz w:val="22"/>
          <w:szCs w:val="22"/>
        </w:rPr>
      </w:pPr>
      <w:r>
        <w:rPr>
          <w:rFonts w:hint="eastAsia" w:ascii="宋体" w:hAnsi="宋体" w:eastAsia="宋体" w:cs="宋体"/>
          <w:color w:val="auto"/>
          <w:sz w:val="22"/>
          <w:szCs w:val="22"/>
        </w:rPr>
        <w:br w:type="page"/>
      </w:r>
    </w:p>
    <w:p w14:paraId="19D2658A">
      <w:pPr>
        <w:pStyle w:val="15"/>
        <w:spacing w:line="400" w:lineRule="exact"/>
        <w:rPr>
          <w:rFonts w:hint="default" w:ascii="宋体" w:hAnsi="宋体" w:eastAsia="宋体" w:cs="宋体"/>
          <w:color w:val="auto"/>
          <w:sz w:val="22"/>
          <w:szCs w:val="22"/>
        </w:rPr>
      </w:pPr>
      <w:r>
        <w:rPr>
          <w:rFonts w:ascii="宋体" w:hAnsi="宋体" w:eastAsia="宋体" w:cs="宋体"/>
          <w:color w:val="auto"/>
          <w:sz w:val="22"/>
          <w:szCs w:val="22"/>
        </w:rPr>
        <w:t>采购包1（</w:t>
      </w:r>
      <w:r>
        <w:rPr>
          <w:rFonts w:ascii="宋体" w:hAnsi="宋体" w:eastAsia="宋体" w:cs="宋体"/>
          <w:color w:val="auto"/>
          <w:sz w:val="22"/>
          <w:szCs w:val="22"/>
          <w:lang w:eastAsia="zh-CN"/>
        </w:rPr>
        <w:t>东莞市博物馆公共服务项目</w:t>
      </w:r>
      <w:r>
        <w:rPr>
          <w:rFonts w:ascii="宋体" w:hAnsi="宋体" w:eastAsia="宋体" w:cs="宋体"/>
          <w:color w:val="auto"/>
          <w:sz w:val="22"/>
          <w:szCs w:val="22"/>
        </w:rPr>
        <w:t>）</w:t>
      </w:r>
    </w:p>
    <w:p w14:paraId="378E2C03">
      <w:pPr>
        <w:pStyle w:val="15"/>
        <w:spacing w:line="400" w:lineRule="exact"/>
        <w:rPr>
          <w:rFonts w:hint="default" w:ascii="宋体" w:hAnsi="宋体" w:eastAsia="宋体" w:cs="宋体"/>
          <w:color w:val="auto"/>
          <w:sz w:val="22"/>
          <w:szCs w:val="22"/>
        </w:rPr>
      </w:pPr>
      <w:r>
        <w:rPr>
          <w:rFonts w:ascii="宋体" w:hAnsi="宋体" w:eastAsia="宋体" w:cs="宋体"/>
          <w:b/>
          <w:color w:val="auto"/>
          <w:sz w:val="22"/>
          <w:szCs w:val="22"/>
        </w:rPr>
        <w:t>1.主要商务要求</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31"/>
        <w:gridCol w:w="6675"/>
      </w:tblGrid>
      <w:tr w14:paraId="68EB1E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70" w:hRule="atLeast"/>
        </w:trPr>
        <w:tc>
          <w:tcPr>
            <w:tcW w:w="1631" w:type="dxa"/>
          </w:tcPr>
          <w:p w14:paraId="1BBF604C">
            <w:pPr>
              <w:pStyle w:val="15"/>
              <w:spacing w:line="400" w:lineRule="exact"/>
              <w:rPr>
                <w:rFonts w:hint="default" w:ascii="宋体" w:hAnsi="宋体" w:eastAsia="宋体" w:cs="宋体"/>
                <w:sz w:val="22"/>
                <w:szCs w:val="22"/>
              </w:rPr>
            </w:pPr>
            <w:r>
              <w:rPr>
                <w:rFonts w:ascii="宋体" w:hAnsi="宋体" w:eastAsia="宋体" w:cs="宋体"/>
                <w:sz w:val="22"/>
                <w:szCs w:val="22"/>
              </w:rPr>
              <w:t>标的提供的时间</w:t>
            </w:r>
          </w:p>
        </w:tc>
        <w:tc>
          <w:tcPr>
            <w:tcW w:w="6675" w:type="dxa"/>
          </w:tcPr>
          <w:p w14:paraId="54278462">
            <w:pPr>
              <w:pStyle w:val="15"/>
              <w:spacing w:line="400" w:lineRule="exact"/>
              <w:rPr>
                <w:rFonts w:hint="default" w:ascii="宋体" w:hAnsi="宋体" w:eastAsia="宋体" w:cs="宋体"/>
                <w:sz w:val="22"/>
                <w:szCs w:val="22"/>
              </w:rPr>
            </w:pPr>
            <w:r>
              <w:rPr>
                <w:rFonts w:ascii="宋体" w:hAnsi="宋体" w:eastAsia="宋体" w:cs="宋体"/>
                <w:sz w:val="22"/>
                <w:szCs w:val="22"/>
                <w:lang w:eastAsia="zh-CN"/>
              </w:rPr>
              <w:t>自合同签订之日起一年</w:t>
            </w:r>
            <w:r>
              <w:rPr>
                <w:rFonts w:ascii="宋体" w:hAnsi="宋体" w:eastAsia="宋体" w:cs="宋体"/>
                <w:sz w:val="22"/>
                <w:szCs w:val="22"/>
              </w:rPr>
              <w:t>。</w:t>
            </w:r>
          </w:p>
        </w:tc>
      </w:tr>
      <w:tr w14:paraId="762671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31" w:type="dxa"/>
          </w:tcPr>
          <w:p w14:paraId="5FD33BA0">
            <w:pPr>
              <w:pStyle w:val="15"/>
              <w:spacing w:line="400" w:lineRule="exact"/>
              <w:rPr>
                <w:rFonts w:hint="default" w:ascii="宋体" w:hAnsi="宋体" w:eastAsia="宋体" w:cs="宋体"/>
                <w:sz w:val="22"/>
                <w:szCs w:val="22"/>
              </w:rPr>
            </w:pPr>
            <w:r>
              <w:rPr>
                <w:rFonts w:ascii="宋体" w:hAnsi="宋体" w:eastAsia="宋体" w:cs="宋体"/>
                <w:sz w:val="22"/>
                <w:szCs w:val="22"/>
              </w:rPr>
              <w:t>标的提供的地点</w:t>
            </w:r>
          </w:p>
        </w:tc>
        <w:tc>
          <w:tcPr>
            <w:tcW w:w="6675" w:type="dxa"/>
          </w:tcPr>
          <w:p w14:paraId="50F6781B">
            <w:pPr>
              <w:pStyle w:val="15"/>
              <w:spacing w:line="400" w:lineRule="exact"/>
              <w:rPr>
                <w:rFonts w:hint="default" w:ascii="宋体" w:hAnsi="宋体" w:eastAsia="宋体" w:cs="宋体"/>
                <w:sz w:val="22"/>
                <w:szCs w:val="22"/>
              </w:rPr>
            </w:pPr>
            <w:r>
              <w:rPr>
                <w:rFonts w:ascii="宋体" w:hAnsi="宋体" w:eastAsia="宋体" w:cs="宋体"/>
                <w:sz w:val="22"/>
                <w:szCs w:val="22"/>
                <w:lang w:eastAsia="zh-CN"/>
              </w:rPr>
              <w:t>东莞市博物馆</w:t>
            </w:r>
            <w:r>
              <w:rPr>
                <w:rFonts w:ascii="宋体" w:hAnsi="宋体" w:eastAsia="宋体" w:cs="宋体"/>
                <w:sz w:val="22"/>
                <w:szCs w:val="22"/>
              </w:rPr>
              <w:t>或采购人指定的地点。</w:t>
            </w:r>
          </w:p>
        </w:tc>
      </w:tr>
      <w:tr w14:paraId="27B9F3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31" w:type="dxa"/>
          </w:tcPr>
          <w:p w14:paraId="0397AF03">
            <w:pPr>
              <w:pStyle w:val="15"/>
              <w:spacing w:line="400" w:lineRule="exact"/>
              <w:rPr>
                <w:rFonts w:hint="default" w:ascii="宋体" w:hAnsi="宋体" w:eastAsia="宋体" w:cs="宋体"/>
                <w:sz w:val="22"/>
                <w:szCs w:val="22"/>
              </w:rPr>
            </w:pPr>
            <w:r>
              <w:rPr>
                <w:rFonts w:ascii="宋体" w:hAnsi="宋体" w:eastAsia="宋体" w:cs="宋体"/>
                <w:sz w:val="22"/>
                <w:szCs w:val="22"/>
              </w:rPr>
              <w:t>付款方式</w:t>
            </w:r>
          </w:p>
        </w:tc>
        <w:tc>
          <w:tcPr>
            <w:tcW w:w="6675" w:type="dxa"/>
          </w:tcPr>
          <w:p w14:paraId="1A1DC265">
            <w:pPr>
              <w:pStyle w:val="15"/>
              <w:spacing w:line="400" w:lineRule="exact"/>
              <w:rPr>
                <w:rFonts w:hint="default" w:ascii="宋体" w:hAnsi="宋体" w:cs="宋体" w:eastAsiaTheme="minorEastAsia"/>
                <w:color w:val="auto"/>
                <w:sz w:val="22"/>
                <w:szCs w:val="22"/>
                <w:highlight w:val="none"/>
                <w:lang w:val="en-US" w:eastAsia="zh-CN"/>
              </w:rPr>
            </w:pPr>
            <w:r>
              <w:rPr>
                <w:rFonts w:ascii="宋体" w:hAnsi="宋体" w:eastAsia="宋体" w:cs="宋体"/>
                <w:color w:val="auto"/>
                <w:sz w:val="22"/>
                <w:szCs w:val="22"/>
                <w:highlight w:val="none"/>
              </w:rPr>
              <w:t>第1期为(</w:t>
            </w:r>
            <w:r>
              <w:rPr>
                <w:rFonts w:hint="eastAsia" w:ascii="宋体" w:hAnsi="宋体" w:eastAsia="宋体" w:cs="宋体"/>
                <w:color w:val="auto"/>
                <w:sz w:val="22"/>
                <w:szCs w:val="22"/>
                <w:highlight w:val="none"/>
                <w:lang w:val="en-US" w:eastAsia="zh-CN"/>
              </w:rPr>
              <w:t>按月支付</w:t>
            </w:r>
            <w:r>
              <w:rPr>
                <w:rFonts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本项目按月支付服务费，每月支付金额=中标总价/12-因考核评分产生的扣款，中标人在申请款项时应提供与请款金额等额的发票，采购人在收到请款材料15个工作日内向中标人支付每月服务费。</w:t>
            </w:r>
            <w:r>
              <w:rPr>
                <w:rFonts w:hint="eastAsia" w:asciiTheme="minorEastAsia" w:hAnsiTheme="minorEastAsia" w:cstheme="minorEastAsia"/>
                <w:color w:val="auto"/>
                <w:sz w:val="22"/>
                <w:szCs w:val="22"/>
                <w:highlight w:val="none"/>
              </w:rPr>
              <w:t>(1.本合同项目资金为财政拨付资金，如因财政:部门原因导致款项未及时下达，或财政预算未获批、财政资金未下达、相关政策变动等不归责于</w:t>
            </w:r>
            <w:r>
              <w:rPr>
                <w:rFonts w:hint="eastAsia" w:asciiTheme="minorEastAsia" w:hAnsiTheme="minorEastAsia" w:cstheme="minorEastAsia"/>
                <w:color w:val="auto"/>
                <w:sz w:val="22"/>
                <w:szCs w:val="22"/>
                <w:highlight w:val="none"/>
                <w:lang w:eastAsia="zh-CN"/>
              </w:rPr>
              <w:t>采购人</w:t>
            </w:r>
            <w:r>
              <w:rPr>
                <w:rFonts w:hint="eastAsia" w:asciiTheme="minorEastAsia" w:hAnsiTheme="minorEastAsia" w:cstheme="minorEastAsia"/>
                <w:color w:val="auto"/>
                <w:sz w:val="22"/>
                <w:szCs w:val="22"/>
                <w:highlight w:val="none"/>
              </w:rPr>
              <w:t>的原因导致本合同支付延期或无:法继续执行的，不视为</w:t>
            </w:r>
            <w:r>
              <w:rPr>
                <w:rFonts w:hint="eastAsia" w:asciiTheme="minorEastAsia" w:hAnsiTheme="minorEastAsia" w:cstheme="minorEastAsia"/>
                <w:color w:val="auto"/>
                <w:sz w:val="22"/>
                <w:szCs w:val="22"/>
                <w:highlight w:val="none"/>
                <w:lang w:eastAsia="zh-CN"/>
              </w:rPr>
              <w:t>采购人</w:t>
            </w:r>
            <w:r>
              <w:rPr>
                <w:rFonts w:hint="eastAsia" w:asciiTheme="minorEastAsia" w:hAnsiTheme="minorEastAsia" w:cstheme="minorEastAsia"/>
                <w:color w:val="auto"/>
                <w:sz w:val="22"/>
                <w:szCs w:val="22"/>
                <w:highlight w:val="none"/>
              </w:rPr>
              <w:t>违约，</w:t>
            </w:r>
            <w:r>
              <w:rPr>
                <w:rFonts w:hint="eastAsia" w:asciiTheme="minorEastAsia" w:hAnsiTheme="minorEastAsia" w:cstheme="minorEastAsia"/>
                <w:color w:val="auto"/>
                <w:sz w:val="22"/>
                <w:szCs w:val="22"/>
                <w:highlight w:val="none"/>
                <w:lang w:eastAsia="zh-CN"/>
              </w:rPr>
              <w:t>采购人</w:t>
            </w:r>
            <w:r>
              <w:rPr>
                <w:rFonts w:hint="eastAsia" w:asciiTheme="minorEastAsia" w:hAnsiTheme="minorEastAsia" w:cstheme="minorEastAsia"/>
                <w:color w:val="auto"/>
                <w:sz w:val="22"/>
                <w:szCs w:val="22"/>
                <w:highlight w:val="none"/>
              </w:rPr>
              <w:t>无需承担任何逾期付款责任，</w:t>
            </w:r>
            <w:r>
              <w:rPr>
                <w:rFonts w:hint="eastAsia" w:asciiTheme="minorEastAsia" w:hAnsiTheme="minorEastAsia" w:cstheme="minorEastAsia"/>
                <w:color w:val="auto"/>
                <w:sz w:val="22"/>
                <w:szCs w:val="22"/>
                <w:highlight w:val="none"/>
                <w:lang w:eastAsia="zh-CN"/>
              </w:rPr>
              <w:t>中标人</w:t>
            </w:r>
            <w:r>
              <w:rPr>
                <w:rFonts w:hint="eastAsia" w:asciiTheme="minorEastAsia" w:hAnsiTheme="minorEastAsia" w:cstheme="minorEastAsia"/>
                <w:color w:val="auto"/>
                <w:sz w:val="22"/>
                <w:szCs w:val="22"/>
                <w:highlight w:val="none"/>
              </w:rPr>
              <w:t>不得以此为由拒绝履行合同义务，否则按违约处理。2、2027年8月服务费，要验收完成后再支付。)</w:t>
            </w:r>
          </w:p>
        </w:tc>
      </w:tr>
      <w:tr w14:paraId="7283D3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31" w:type="dxa"/>
          </w:tcPr>
          <w:p w14:paraId="77C4A04E">
            <w:pPr>
              <w:pStyle w:val="15"/>
              <w:spacing w:line="400" w:lineRule="exact"/>
              <w:rPr>
                <w:rFonts w:hint="default" w:ascii="宋体" w:hAnsi="宋体" w:eastAsia="宋体" w:cs="宋体"/>
                <w:sz w:val="22"/>
                <w:szCs w:val="22"/>
              </w:rPr>
            </w:pPr>
            <w:r>
              <w:rPr>
                <w:rFonts w:ascii="宋体" w:hAnsi="宋体" w:eastAsia="宋体" w:cs="宋体"/>
                <w:sz w:val="22"/>
                <w:szCs w:val="22"/>
              </w:rPr>
              <w:t>验收要求</w:t>
            </w:r>
          </w:p>
        </w:tc>
        <w:tc>
          <w:tcPr>
            <w:tcW w:w="6675" w:type="dxa"/>
          </w:tcPr>
          <w:p w14:paraId="54AB18CD">
            <w:pPr>
              <w:pStyle w:val="15"/>
              <w:spacing w:line="400" w:lineRule="exact"/>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1期：1.验收主体：东莞市博物馆。</w:t>
            </w:r>
            <w:r>
              <w:rPr>
                <w:rFonts w:hint="eastAsia" w:ascii="宋体" w:hAnsi="宋体" w:eastAsia="宋体" w:cs="宋体"/>
                <w:color w:val="auto"/>
                <w:sz w:val="22"/>
                <w:szCs w:val="22"/>
                <w:highlight w:val="none"/>
                <w:lang w:val="en-US" w:eastAsia="zh-CN"/>
              </w:rPr>
              <w:t>2</w:t>
            </w:r>
            <w:r>
              <w:rPr>
                <w:rFonts w:ascii="宋体" w:hAnsi="宋体" w:eastAsia="宋体" w:cs="宋体"/>
                <w:color w:val="auto"/>
                <w:sz w:val="22"/>
                <w:szCs w:val="22"/>
                <w:highlight w:val="none"/>
              </w:rPr>
              <w:t>.验收依据：</w:t>
            </w:r>
            <w:r>
              <w:rPr>
                <w:rFonts w:hint="eastAsia" w:ascii="宋体" w:hAnsi="宋体" w:eastAsia="宋体" w:cs="宋体"/>
                <w:color w:val="auto"/>
                <w:sz w:val="22"/>
                <w:szCs w:val="22"/>
                <w:highlight w:val="none"/>
                <w:lang w:eastAsia="zh-CN"/>
              </w:rPr>
              <w:t>服务期起至东莞市博物馆新馆开馆试运行前甲方将乙方完成入门培训、通过讲解考核作为当月验收标准，每月规定的讲解及活动场次将往后顺延开展；新馆开馆试运行后，</w:t>
            </w:r>
            <w:r>
              <w:rPr>
                <w:rFonts w:ascii="宋体" w:hAnsi="宋体" w:eastAsia="宋体" w:cs="宋体"/>
                <w:color w:val="auto"/>
                <w:sz w:val="22"/>
                <w:szCs w:val="22"/>
                <w:highlight w:val="none"/>
              </w:rPr>
              <w:t>采购人每月根据采购人制定的《</w:t>
            </w:r>
            <w:r>
              <w:rPr>
                <w:rFonts w:hint="eastAsia" w:ascii="宋体" w:hAnsi="宋体" w:eastAsia="宋体" w:cs="宋体"/>
                <w:color w:val="auto"/>
                <w:sz w:val="22"/>
                <w:szCs w:val="22"/>
                <w:highlight w:val="none"/>
              </w:rPr>
              <w:t>东莞市博物馆公共服务质量评分表</w:t>
            </w:r>
            <w:r>
              <w:rPr>
                <w:rFonts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进行服务评价</w:t>
            </w:r>
            <w:r>
              <w:rPr>
                <w:rFonts w:ascii="宋体" w:hAnsi="宋体" w:eastAsia="宋体" w:cs="宋体"/>
                <w:color w:val="auto"/>
                <w:sz w:val="22"/>
                <w:szCs w:val="22"/>
                <w:highlight w:val="none"/>
              </w:rPr>
              <w:t>，对中标人进行日常督促检查，发现不符合采购人要求或标准的，进行口头警告限期整改，但仍不按期改进落实的，立即对中标人发出书面警告，责令限期整改。 出现以下情况之一，采购人有权无条件终止和解除服务合同，一切经济和法律责任由中标人承担。（1）员工出现重大违纪事件，中标人不予处理；（2）对于采购人提出的书面警告不予受理；（3）一年内有3个月服务评价低于70分，无法满足采购人用人要求；（4）连续两个月出现拖欠员工工资情况。</w:t>
            </w:r>
            <w:r>
              <w:rPr>
                <w:rFonts w:hint="eastAsia" w:ascii="宋体" w:hAnsi="宋体" w:eastAsia="宋体" w:cs="宋体"/>
                <w:color w:val="auto"/>
                <w:sz w:val="22"/>
                <w:szCs w:val="22"/>
                <w:highlight w:val="none"/>
                <w:lang w:val="en-US" w:eastAsia="zh-CN"/>
              </w:rPr>
              <w:t>3</w:t>
            </w:r>
            <w:r>
              <w:rPr>
                <w:rFonts w:ascii="宋体" w:hAnsi="宋体" w:eastAsia="宋体" w:cs="宋体"/>
                <w:color w:val="auto"/>
                <w:sz w:val="22"/>
                <w:szCs w:val="22"/>
                <w:highlight w:val="none"/>
              </w:rPr>
              <w:t>.验收时间：中标人提供服务期满前1个月内，向采购人提交验收申请报告，采购人收到验收报告后7日内按照合同的约定对履约情况进行验收，对每一项技术、服务、安全标准的履约情况进行验收确认。</w:t>
            </w:r>
            <w:r>
              <w:rPr>
                <w:rFonts w:hint="eastAsia" w:ascii="宋体" w:hAnsi="宋体" w:eastAsia="宋体" w:cs="宋体"/>
                <w:color w:val="auto"/>
                <w:sz w:val="22"/>
                <w:szCs w:val="22"/>
                <w:highlight w:val="none"/>
                <w:lang w:val="en-US" w:eastAsia="zh-CN"/>
              </w:rPr>
              <w:t>4</w:t>
            </w:r>
            <w:r>
              <w:rPr>
                <w:rFonts w:ascii="宋体" w:hAnsi="宋体" w:eastAsia="宋体" w:cs="宋体"/>
                <w:color w:val="auto"/>
                <w:sz w:val="22"/>
                <w:szCs w:val="22"/>
                <w:highlight w:val="none"/>
              </w:rPr>
              <w:t>.验收资料要求：中标人需每月汇总投入本项目的人员资质、考勤记录、中标人为投入本项目人员购买的社会保险基金。项目完成后将相关自来汇总成册，作为采购人验收的证据材料。</w:t>
            </w:r>
            <w:r>
              <w:rPr>
                <w:rFonts w:hint="eastAsia" w:ascii="宋体" w:hAnsi="宋体" w:eastAsia="宋体" w:cs="宋体"/>
                <w:color w:val="auto"/>
                <w:sz w:val="22"/>
                <w:szCs w:val="22"/>
                <w:highlight w:val="none"/>
                <w:lang w:val="en-US" w:eastAsia="zh-CN"/>
              </w:rPr>
              <w:t>5</w:t>
            </w:r>
            <w:r>
              <w:rPr>
                <w:rFonts w:ascii="宋体" w:hAnsi="宋体" w:eastAsia="宋体" w:cs="宋体"/>
                <w:color w:val="auto"/>
                <w:sz w:val="22"/>
                <w:szCs w:val="22"/>
                <w:highlight w:val="none"/>
              </w:rPr>
              <w:t>.服务人员考核：中标人需每月向游客组织不少于一次对各讲解员的满意度评价，考核内容包含但不限于讲解员专业水平、仪容仪表、吐词清晰程度、语速、服务意识等，具体评价表由中标人制作表单，经采购人确认后实施。当讲解员满意度低于80%时，中标人应及时更换该人员。</w:t>
            </w:r>
            <w:r>
              <w:rPr>
                <w:rFonts w:hint="eastAsia" w:ascii="宋体" w:hAnsi="宋体" w:eastAsia="宋体" w:cs="宋体"/>
                <w:color w:val="auto"/>
                <w:sz w:val="22"/>
                <w:szCs w:val="22"/>
                <w:highlight w:val="none"/>
                <w:lang w:val="en-US" w:eastAsia="zh-CN"/>
              </w:rPr>
              <w:t>6.考核得分扣罚：采购人每月根据中标人的考核得分扣除相应金额的服务费，90分（含）以上全额支付当月服务费；90分（不含）以下，每低于90分1分，扣除1000元。</w:t>
            </w:r>
          </w:p>
        </w:tc>
      </w:tr>
      <w:tr w14:paraId="256355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31" w:type="dxa"/>
          </w:tcPr>
          <w:p w14:paraId="798B5FAF">
            <w:pPr>
              <w:pStyle w:val="15"/>
              <w:spacing w:line="400" w:lineRule="exact"/>
              <w:rPr>
                <w:rFonts w:hint="default" w:ascii="宋体" w:hAnsi="宋体" w:eastAsia="宋体" w:cs="宋体"/>
                <w:sz w:val="22"/>
                <w:szCs w:val="22"/>
              </w:rPr>
            </w:pPr>
            <w:r>
              <w:rPr>
                <w:rFonts w:ascii="宋体" w:hAnsi="宋体" w:eastAsia="宋体" w:cs="宋体"/>
                <w:sz w:val="22"/>
                <w:szCs w:val="22"/>
              </w:rPr>
              <w:t>履约保证金</w:t>
            </w:r>
          </w:p>
        </w:tc>
        <w:tc>
          <w:tcPr>
            <w:tcW w:w="6675" w:type="dxa"/>
          </w:tcPr>
          <w:p w14:paraId="60A7BA75">
            <w:pPr>
              <w:pStyle w:val="15"/>
              <w:spacing w:line="400" w:lineRule="exact"/>
              <w:rPr>
                <w:rFonts w:hint="default" w:ascii="宋体" w:hAnsi="宋体" w:eastAsia="宋体" w:cs="宋体"/>
                <w:sz w:val="22"/>
                <w:szCs w:val="22"/>
              </w:rPr>
            </w:pPr>
            <w:r>
              <w:rPr>
                <w:rFonts w:ascii="宋体" w:hAnsi="宋体" w:eastAsia="宋体" w:cs="宋体"/>
                <w:sz w:val="22"/>
                <w:szCs w:val="22"/>
              </w:rPr>
              <w:t>不收取</w:t>
            </w:r>
          </w:p>
        </w:tc>
      </w:tr>
      <w:tr w14:paraId="3E28E0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31" w:type="dxa"/>
          </w:tcPr>
          <w:p w14:paraId="5C03D06C">
            <w:pPr>
              <w:pStyle w:val="15"/>
              <w:spacing w:line="400" w:lineRule="exact"/>
              <w:rPr>
                <w:rFonts w:hint="default" w:ascii="宋体" w:hAnsi="宋体" w:eastAsia="宋体" w:cs="宋体"/>
                <w:sz w:val="22"/>
                <w:szCs w:val="22"/>
              </w:rPr>
            </w:pPr>
            <w:r>
              <w:rPr>
                <w:rFonts w:ascii="宋体" w:hAnsi="宋体" w:eastAsia="宋体" w:cs="宋体"/>
                <w:sz w:val="22"/>
                <w:szCs w:val="22"/>
              </w:rPr>
              <w:t>其他</w:t>
            </w:r>
          </w:p>
        </w:tc>
        <w:tc>
          <w:tcPr>
            <w:tcW w:w="6675" w:type="dxa"/>
          </w:tcPr>
          <w:p w14:paraId="1FC8B9C4">
            <w:pPr>
              <w:pStyle w:val="15"/>
              <w:spacing w:line="400" w:lineRule="exact"/>
              <w:rPr>
                <w:rFonts w:hint="default" w:ascii="宋体" w:hAnsi="宋体" w:eastAsia="宋体" w:cs="宋体"/>
                <w:sz w:val="22"/>
                <w:szCs w:val="22"/>
              </w:rPr>
            </w:pPr>
            <w:r>
              <w:rPr>
                <w:rFonts w:ascii="宋体" w:hAnsi="宋体" w:eastAsia="宋体" w:cs="宋体"/>
                <w:sz w:val="22"/>
                <w:szCs w:val="22"/>
                <w:lang w:eastAsia="zh-CN"/>
              </w:rPr>
              <w:t>报价要求：</w:t>
            </w:r>
            <w:r>
              <w:rPr>
                <w:rFonts w:ascii="宋体" w:hAnsi="宋体" w:eastAsia="宋体" w:cs="宋体"/>
                <w:sz w:val="22"/>
                <w:szCs w:val="22"/>
              </w:rPr>
              <w:t>投标人应以人民币为结算单位，投标报价应包括：讲解与社教活动方案设计费、研学课程研发及教具物料费、讲解设备运维费、服务人员服装及耗材费、专业服务人员劳务费、人员岗前及在岗培训费、活动现场安全保障费、赛事参赛及社教品牌打造费、服务资料归档与数据汇编费、项目现场管理费、智能服务系统运维费、观众满意度调研费、各项税费、验收费及合同实施过程中的应预见和不可预见费用等完成合同规定责任和义务、达到合同验收目的的一切费用。</w:t>
            </w:r>
          </w:p>
        </w:tc>
      </w:tr>
    </w:tbl>
    <w:p w14:paraId="2430F494">
      <w:pPr>
        <w:pStyle w:val="15"/>
        <w:spacing w:line="400" w:lineRule="exact"/>
        <w:rPr>
          <w:rFonts w:hint="default" w:ascii="宋体" w:hAnsi="宋体" w:eastAsia="宋体" w:cs="宋体"/>
          <w:color w:val="auto"/>
          <w:sz w:val="22"/>
          <w:szCs w:val="22"/>
        </w:rPr>
      </w:pPr>
      <w:r>
        <w:rPr>
          <w:rFonts w:ascii="宋体" w:hAnsi="宋体" w:eastAsia="宋体" w:cs="宋体"/>
          <w:b/>
          <w:color w:val="auto"/>
          <w:sz w:val="22"/>
          <w:szCs w:val="22"/>
        </w:rPr>
        <w:t>2.技术标准与要求</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36"/>
        <w:gridCol w:w="709"/>
        <w:gridCol w:w="1038"/>
        <w:gridCol w:w="1264"/>
        <w:gridCol w:w="436"/>
        <w:gridCol w:w="656"/>
        <w:gridCol w:w="1536"/>
        <w:gridCol w:w="1536"/>
        <w:gridCol w:w="436"/>
        <w:gridCol w:w="436"/>
      </w:tblGrid>
      <w:tr w14:paraId="156338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36" w:type="dxa"/>
            <w:vAlign w:val="center"/>
          </w:tcPr>
          <w:p w14:paraId="05238E63">
            <w:pPr>
              <w:pStyle w:val="15"/>
              <w:spacing w:line="400" w:lineRule="exact"/>
              <w:jc w:val="center"/>
              <w:rPr>
                <w:rFonts w:hint="default" w:ascii="宋体" w:hAnsi="宋体" w:eastAsia="宋体" w:cs="宋体"/>
                <w:color w:val="auto"/>
                <w:sz w:val="22"/>
                <w:szCs w:val="22"/>
              </w:rPr>
            </w:pPr>
            <w:r>
              <w:rPr>
                <w:rFonts w:ascii="宋体" w:hAnsi="宋体" w:eastAsia="宋体" w:cs="宋体"/>
                <w:color w:val="auto"/>
                <w:sz w:val="22"/>
                <w:szCs w:val="22"/>
              </w:rPr>
              <w:t>序号</w:t>
            </w:r>
          </w:p>
        </w:tc>
        <w:tc>
          <w:tcPr>
            <w:tcW w:w="709" w:type="dxa"/>
            <w:vAlign w:val="center"/>
          </w:tcPr>
          <w:p w14:paraId="401A1D6B">
            <w:pPr>
              <w:pStyle w:val="15"/>
              <w:spacing w:line="400" w:lineRule="exact"/>
              <w:jc w:val="center"/>
              <w:rPr>
                <w:rFonts w:hint="default" w:ascii="宋体" w:hAnsi="宋体" w:eastAsia="宋体" w:cs="宋体"/>
                <w:color w:val="auto"/>
                <w:sz w:val="22"/>
                <w:szCs w:val="22"/>
              </w:rPr>
            </w:pPr>
            <w:r>
              <w:rPr>
                <w:rFonts w:ascii="宋体" w:hAnsi="宋体" w:eastAsia="宋体" w:cs="宋体"/>
                <w:color w:val="auto"/>
                <w:sz w:val="22"/>
                <w:szCs w:val="22"/>
              </w:rPr>
              <w:t>核心产品要求（“△”）</w:t>
            </w:r>
          </w:p>
        </w:tc>
        <w:tc>
          <w:tcPr>
            <w:tcW w:w="1038" w:type="dxa"/>
            <w:vAlign w:val="center"/>
          </w:tcPr>
          <w:p w14:paraId="44E76737">
            <w:pPr>
              <w:pStyle w:val="15"/>
              <w:spacing w:line="400" w:lineRule="exact"/>
              <w:jc w:val="center"/>
              <w:rPr>
                <w:rFonts w:hint="default" w:ascii="宋体" w:hAnsi="宋体" w:eastAsia="宋体" w:cs="宋体"/>
                <w:color w:val="auto"/>
                <w:sz w:val="22"/>
                <w:szCs w:val="22"/>
              </w:rPr>
            </w:pPr>
            <w:r>
              <w:rPr>
                <w:rFonts w:ascii="宋体" w:hAnsi="宋体" w:eastAsia="宋体" w:cs="宋体"/>
                <w:color w:val="auto"/>
                <w:sz w:val="22"/>
                <w:szCs w:val="22"/>
              </w:rPr>
              <w:t>品目名称</w:t>
            </w:r>
          </w:p>
        </w:tc>
        <w:tc>
          <w:tcPr>
            <w:tcW w:w="1264" w:type="dxa"/>
            <w:vAlign w:val="center"/>
          </w:tcPr>
          <w:p w14:paraId="7C6F7E8C">
            <w:pPr>
              <w:pStyle w:val="15"/>
              <w:spacing w:line="400" w:lineRule="exact"/>
              <w:jc w:val="center"/>
              <w:rPr>
                <w:rFonts w:hint="default" w:ascii="宋体" w:hAnsi="宋体" w:eastAsia="宋体" w:cs="宋体"/>
                <w:color w:val="auto"/>
                <w:sz w:val="22"/>
                <w:szCs w:val="22"/>
              </w:rPr>
            </w:pPr>
            <w:r>
              <w:rPr>
                <w:rFonts w:ascii="宋体" w:hAnsi="宋体" w:eastAsia="宋体" w:cs="宋体"/>
                <w:color w:val="auto"/>
                <w:sz w:val="22"/>
                <w:szCs w:val="22"/>
              </w:rPr>
              <w:t>标的名称</w:t>
            </w:r>
          </w:p>
        </w:tc>
        <w:tc>
          <w:tcPr>
            <w:tcW w:w="436" w:type="dxa"/>
            <w:vAlign w:val="center"/>
          </w:tcPr>
          <w:p w14:paraId="5C56AB55">
            <w:pPr>
              <w:pStyle w:val="15"/>
              <w:spacing w:line="400" w:lineRule="exact"/>
              <w:jc w:val="center"/>
              <w:rPr>
                <w:rFonts w:hint="default" w:ascii="宋体" w:hAnsi="宋体" w:eastAsia="宋体" w:cs="宋体"/>
                <w:color w:val="auto"/>
                <w:sz w:val="22"/>
                <w:szCs w:val="22"/>
              </w:rPr>
            </w:pPr>
            <w:r>
              <w:rPr>
                <w:rFonts w:ascii="宋体" w:hAnsi="宋体" w:eastAsia="宋体" w:cs="宋体"/>
                <w:color w:val="auto"/>
                <w:sz w:val="22"/>
                <w:szCs w:val="22"/>
              </w:rPr>
              <w:t>单位</w:t>
            </w:r>
          </w:p>
        </w:tc>
        <w:tc>
          <w:tcPr>
            <w:tcW w:w="656" w:type="dxa"/>
            <w:vAlign w:val="center"/>
          </w:tcPr>
          <w:p w14:paraId="03F7BA11">
            <w:pPr>
              <w:pStyle w:val="15"/>
              <w:spacing w:line="400" w:lineRule="exact"/>
              <w:jc w:val="center"/>
              <w:rPr>
                <w:rFonts w:hint="default" w:ascii="宋体" w:hAnsi="宋体" w:eastAsia="宋体" w:cs="宋体"/>
                <w:color w:val="auto"/>
                <w:sz w:val="22"/>
                <w:szCs w:val="22"/>
              </w:rPr>
            </w:pPr>
            <w:r>
              <w:rPr>
                <w:rFonts w:ascii="宋体" w:hAnsi="宋体" w:eastAsia="宋体" w:cs="宋体"/>
                <w:color w:val="auto"/>
                <w:sz w:val="22"/>
                <w:szCs w:val="22"/>
              </w:rPr>
              <w:t>数量</w:t>
            </w:r>
          </w:p>
        </w:tc>
        <w:tc>
          <w:tcPr>
            <w:tcW w:w="1536" w:type="dxa"/>
            <w:vAlign w:val="center"/>
          </w:tcPr>
          <w:p w14:paraId="51A9DE04">
            <w:pPr>
              <w:pStyle w:val="15"/>
              <w:spacing w:line="400" w:lineRule="exact"/>
              <w:jc w:val="center"/>
              <w:rPr>
                <w:rFonts w:hint="default" w:ascii="宋体" w:hAnsi="宋体" w:eastAsia="宋体" w:cs="宋体"/>
                <w:color w:val="auto"/>
                <w:sz w:val="22"/>
                <w:szCs w:val="22"/>
              </w:rPr>
            </w:pPr>
            <w:r>
              <w:rPr>
                <w:rFonts w:ascii="宋体" w:hAnsi="宋体" w:eastAsia="宋体" w:cs="宋体"/>
                <w:color w:val="auto"/>
                <w:sz w:val="22"/>
                <w:szCs w:val="22"/>
              </w:rPr>
              <w:t>分项预算单价（元）</w:t>
            </w:r>
          </w:p>
        </w:tc>
        <w:tc>
          <w:tcPr>
            <w:tcW w:w="1536" w:type="dxa"/>
            <w:vAlign w:val="center"/>
          </w:tcPr>
          <w:p w14:paraId="7CB70FFF">
            <w:pPr>
              <w:pStyle w:val="15"/>
              <w:spacing w:line="400" w:lineRule="exact"/>
              <w:jc w:val="center"/>
              <w:rPr>
                <w:rFonts w:hint="default" w:ascii="宋体" w:hAnsi="宋体" w:eastAsia="宋体" w:cs="宋体"/>
                <w:color w:val="auto"/>
                <w:sz w:val="22"/>
                <w:szCs w:val="22"/>
              </w:rPr>
            </w:pPr>
            <w:r>
              <w:rPr>
                <w:rFonts w:ascii="宋体" w:hAnsi="宋体" w:eastAsia="宋体" w:cs="宋体"/>
                <w:color w:val="auto"/>
                <w:sz w:val="22"/>
                <w:szCs w:val="22"/>
              </w:rPr>
              <w:t>分项预算总价（元）</w:t>
            </w:r>
          </w:p>
        </w:tc>
        <w:tc>
          <w:tcPr>
            <w:tcW w:w="436" w:type="dxa"/>
            <w:vAlign w:val="center"/>
          </w:tcPr>
          <w:p w14:paraId="15EDB3F5">
            <w:pPr>
              <w:pStyle w:val="15"/>
              <w:spacing w:line="400" w:lineRule="exact"/>
              <w:jc w:val="center"/>
              <w:rPr>
                <w:rFonts w:hint="default" w:ascii="宋体" w:hAnsi="宋体" w:eastAsia="宋体" w:cs="宋体"/>
                <w:color w:val="auto"/>
                <w:sz w:val="22"/>
                <w:szCs w:val="22"/>
              </w:rPr>
            </w:pPr>
            <w:r>
              <w:rPr>
                <w:rFonts w:ascii="宋体" w:hAnsi="宋体" w:eastAsia="宋体" w:cs="宋体"/>
                <w:color w:val="auto"/>
                <w:sz w:val="22"/>
                <w:szCs w:val="22"/>
              </w:rPr>
              <w:t>所属行业</w:t>
            </w:r>
          </w:p>
        </w:tc>
        <w:tc>
          <w:tcPr>
            <w:tcW w:w="436" w:type="dxa"/>
            <w:vAlign w:val="center"/>
          </w:tcPr>
          <w:p w14:paraId="5B1D7D78">
            <w:pPr>
              <w:pStyle w:val="15"/>
              <w:spacing w:line="400" w:lineRule="exact"/>
              <w:jc w:val="center"/>
              <w:rPr>
                <w:rFonts w:hint="default" w:ascii="宋体" w:hAnsi="宋体" w:eastAsia="宋体" w:cs="宋体"/>
                <w:color w:val="auto"/>
                <w:sz w:val="22"/>
                <w:szCs w:val="22"/>
              </w:rPr>
            </w:pPr>
            <w:r>
              <w:rPr>
                <w:rFonts w:ascii="宋体" w:hAnsi="宋体" w:eastAsia="宋体" w:cs="宋体"/>
                <w:color w:val="auto"/>
                <w:sz w:val="22"/>
                <w:szCs w:val="22"/>
              </w:rPr>
              <w:t>技术要求</w:t>
            </w:r>
          </w:p>
        </w:tc>
      </w:tr>
      <w:tr w14:paraId="03A220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36" w:type="dxa"/>
            <w:vAlign w:val="center"/>
          </w:tcPr>
          <w:p w14:paraId="1A81A3F5">
            <w:pPr>
              <w:pStyle w:val="15"/>
              <w:spacing w:line="400" w:lineRule="exact"/>
              <w:jc w:val="center"/>
              <w:rPr>
                <w:rFonts w:hint="default" w:ascii="宋体" w:hAnsi="宋体" w:eastAsia="宋体" w:cs="宋体"/>
                <w:color w:val="auto"/>
                <w:sz w:val="22"/>
                <w:szCs w:val="22"/>
              </w:rPr>
            </w:pPr>
            <w:r>
              <w:rPr>
                <w:rFonts w:ascii="宋体" w:hAnsi="宋体" w:eastAsia="宋体" w:cs="宋体"/>
                <w:color w:val="auto"/>
                <w:sz w:val="22"/>
                <w:szCs w:val="22"/>
              </w:rPr>
              <w:t>1</w:t>
            </w:r>
          </w:p>
        </w:tc>
        <w:tc>
          <w:tcPr>
            <w:tcW w:w="709" w:type="dxa"/>
            <w:vAlign w:val="center"/>
          </w:tcPr>
          <w:p w14:paraId="7A7BAB71">
            <w:pPr>
              <w:pStyle w:val="15"/>
              <w:spacing w:line="400" w:lineRule="exact"/>
              <w:jc w:val="center"/>
              <w:rPr>
                <w:rFonts w:hint="default" w:ascii="宋体" w:hAnsi="宋体" w:eastAsia="宋体" w:cs="宋体"/>
                <w:color w:val="auto"/>
                <w:sz w:val="22"/>
                <w:szCs w:val="22"/>
              </w:rPr>
            </w:pPr>
          </w:p>
        </w:tc>
        <w:tc>
          <w:tcPr>
            <w:tcW w:w="1038" w:type="dxa"/>
            <w:vAlign w:val="center"/>
          </w:tcPr>
          <w:p w14:paraId="756D0C27">
            <w:pPr>
              <w:pStyle w:val="15"/>
              <w:spacing w:line="400" w:lineRule="exact"/>
              <w:jc w:val="center"/>
              <w:rPr>
                <w:rFonts w:hint="default" w:ascii="宋体" w:hAnsi="宋体" w:eastAsia="宋体" w:cs="宋体"/>
                <w:color w:val="auto"/>
                <w:sz w:val="22"/>
                <w:szCs w:val="22"/>
              </w:rPr>
            </w:pPr>
            <w:r>
              <w:rPr>
                <w:rFonts w:ascii="宋体" w:hAnsi="宋体" w:eastAsia="宋体" w:cs="宋体"/>
                <w:color w:val="auto"/>
                <w:sz w:val="22"/>
                <w:szCs w:val="22"/>
                <w:lang w:eastAsia="zh-CN"/>
              </w:rPr>
              <w:t>博物馆服务</w:t>
            </w:r>
          </w:p>
        </w:tc>
        <w:tc>
          <w:tcPr>
            <w:tcW w:w="1264" w:type="dxa"/>
            <w:vAlign w:val="center"/>
          </w:tcPr>
          <w:p w14:paraId="737828FA">
            <w:pPr>
              <w:pStyle w:val="15"/>
              <w:spacing w:line="400" w:lineRule="exact"/>
              <w:jc w:val="center"/>
              <w:rPr>
                <w:rFonts w:hint="default" w:ascii="宋体" w:hAnsi="宋体" w:eastAsia="宋体" w:cs="宋体"/>
                <w:color w:val="auto"/>
                <w:sz w:val="22"/>
                <w:szCs w:val="22"/>
              </w:rPr>
            </w:pPr>
            <w:r>
              <w:rPr>
                <w:rFonts w:ascii="宋体" w:hAnsi="宋体" w:eastAsia="宋体" w:cs="宋体"/>
                <w:color w:val="auto"/>
                <w:sz w:val="22"/>
                <w:szCs w:val="22"/>
                <w:lang w:eastAsia="zh-CN"/>
              </w:rPr>
              <w:t>东莞市博物馆公共服务项目</w:t>
            </w:r>
          </w:p>
        </w:tc>
        <w:tc>
          <w:tcPr>
            <w:tcW w:w="436" w:type="dxa"/>
            <w:vAlign w:val="center"/>
          </w:tcPr>
          <w:p w14:paraId="63C905EA">
            <w:pPr>
              <w:pStyle w:val="15"/>
              <w:spacing w:line="400" w:lineRule="exact"/>
              <w:jc w:val="center"/>
              <w:rPr>
                <w:rFonts w:hint="default" w:ascii="宋体" w:hAnsi="宋体" w:eastAsia="宋体" w:cs="宋体"/>
                <w:color w:val="auto"/>
                <w:sz w:val="22"/>
                <w:szCs w:val="22"/>
              </w:rPr>
            </w:pPr>
            <w:r>
              <w:rPr>
                <w:rFonts w:ascii="宋体" w:hAnsi="宋体" w:eastAsia="宋体" w:cs="宋体"/>
                <w:color w:val="auto"/>
                <w:sz w:val="22"/>
                <w:szCs w:val="22"/>
              </w:rPr>
              <w:t>批</w:t>
            </w:r>
          </w:p>
        </w:tc>
        <w:tc>
          <w:tcPr>
            <w:tcW w:w="656" w:type="dxa"/>
            <w:vAlign w:val="center"/>
          </w:tcPr>
          <w:p w14:paraId="31F4CF08">
            <w:pPr>
              <w:pStyle w:val="15"/>
              <w:spacing w:line="400" w:lineRule="exact"/>
              <w:jc w:val="center"/>
              <w:rPr>
                <w:rFonts w:hint="default" w:ascii="宋体" w:hAnsi="宋体" w:eastAsia="宋体" w:cs="宋体"/>
                <w:color w:val="auto"/>
                <w:sz w:val="22"/>
                <w:szCs w:val="22"/>
              </w:rPr>
            </w:pPr>
            <w:r>
              <w:rPr>
                <w:rFonts w:ascii="宋体" w:hAnsi="宋体" w:eastAsia="宋体" w:cs="宋体"/>
                <w:color w:val="auto"/>
                <w:sz w:val="22"/>
                <w:szCs w:val="22"/>
              </w:rPr>
              <w:t>1.00</w:t>
            </w:r>
          </w:p>
        </w:tc>
        <w:tc>
          <w:tcPr>
            <w:tcW w:w="1536" w:type="dxa"/>
            <w:vAlign w:val="center"/>
          </w:tcPr>
          <w:p w14:paraId="17B72466">
            <w:pPr>
              <w:pStyle w:val="15"/>
              <w:spacing w:line="400" w:lineRule="exact"/>
              <w:jc w:val="center"/>
              <w:rPr>
                <w:rFonts w:hint="default" w:ascii="宋体" w:hAnsi="宋体" w:eastAsia="宋体" w:cs="宋体"/>
                <w:color w:val="auto"/>
                <w:sz w:val="22"/>
                <w:szCs w:val="22"/>
                <w:lang w:eastAsia="zh-CN"/>
              </w:rPr>
            </w:pPr>
            <w:r>
              <w:rPr>
                <w:rFonts w:ascii="宋体" w:hAnsi="宋体" w:eastAsia="宋体" w:cs="宋体"/>
                <w:color w:val="auto"/>
                <w:sz w:val="22"/>
                <w:szCs w:val="22"/>
                <w:lang w:eastAsia="zh-CN"/>
              </w:rPr>
              <w:t>1,641,600.00</w:t>
            </w:r>
          </w:p>
        </w:tc>
        <w:tc>
          <w:tcPr>
            <w:tcW w:w="1536" w:type="dxa"/>
            <w:vAlign w:val="center"/>
          </w:tcPr>
          <w:p w14:paraId="67FC2343">
            <w:pPr>
              <w:pStyle w:val="15"/>
              <w:spacing w:line="400" w:lineRule="exact"/>
              <w:jc w:val="center"/>
              <w:rPr>
                <w:rFonts w:hint="default" w:ascii="宋体" w:hAnsi="宋体" w:eastAsia="宋体" w:cs="宋体"/>
                <w:color w:val="auto"/>
                <w:sz w:val="22"/>
                <w:szCs w:val="22"/>
                <w:lang w:eastAsia="zh-CN"/>
              </w:rPr>
            </w:pPr>
            <w:r>
              <w:rPr>
                <w:rFonts w:ascii="宋体" w:hAnsi="宋体" w:eastAsia="宋体" w:cs="宋体"/>
                <w:color w:val="auto"/>
                <w:sz w:val="22"/>
                <w:szCs w:val="22"/>
                <w:lang w:eastAsia="zh-CN"/>
              </w:rPr>
              <w:t>1,641,600.00</w:t>
            </w:r>
          </w:p>
        </w:tc>
        <w:tc>
          <w:tcPr>
            <w:tcW w:w="436" w:type="dxa"/>
            <w:vAlign w:val="center"/>
          </w:tcPr>
          <w:p w14:paraId="4EE1A2BF">
            <w:pPr>
              <w:pStyle w:val="15"/>
              <w:spacing w:line="400" w:lineRule="exact"/>
              <w:jc w:val="center"/>
              <w:rPr>
                <w:rFonts w:hint="default" w:ascii="宋体" w:hAnsi="宋体" w:eastAsia="宋体" w:cs="宋体"/>
                <w:color w:val="auto"/>
                <w:sz w:val="22"/>
                <w:szCs w:val="22"/>
                <w:lang w:eastAsia="zh-CN"/>
              </w:rPr>
            </w:pPr>
            <w:r>
              <w:rPr>
                <w:rFonts w:ascii="宋体" w:hAnsi="宋体" w:eastAsia="宋体" w:cs="宋体"/>
                <w:color w:val="auto"/>
                <w:sz w:val="22"/>
                <w:szCs w:val="22"/>
                <w:lang w:eastAsia="zh-CN"/>
              </w:rPr>
              <w:t>其他未列明行业</w:t>
            </w:r>
          </w:p>
        </w:tc>
        <w:tc>
          <w:tcPr>
            <w:tcW w:w="436" w:type="dxa"/>
            <w:vAlign w:val="center"/>
          </w:tcPr>
          <w:p w14:paraId="412D5852">
            <w:pPr>
              <w:pStyle w:val="15"/>
              <w:spacing w:line="400" w:lineRule="exact"/>
              <w:jc w:val="center"/>
              <w:rPr>
                <w:rFonts w:hint="default" w:ascii="宋体" w:hAnsi="宋体" w:eastAsia="宋体" w:cs="宋体"/>
                <w:color w:val="auto"/>
                <w:sz w:val="22"/>
                <w:szCs w:val="22"/>
              </w:rPr>
            </w:pPr>
            <w:r>
              <w:rPr>
                <w:rFonts w:ascii="宋体" w:hAnsi="宋体" w:eastAsia="宋体" w:cs="宋体"/>
                <w:color w:val="auto"/>
                <w:sz w:val="22"/>
                <w:szCs w:val="22"/>
              </w:rPr>
              <w:t>详见附表一</w:t>
            </w:r>
          </w:p>
        </w:tc>
      </w:tr>
    </w:tbl>
    <w:p w14:paraId="7DD6D7F9">
      <w:pPr>
        <w:pStyle w:val="15"/>
        <w:spacing w:line="400" w:lineRule="exact"/>
        <w:rPr>
          <w:rFonts w:hint="default" w:ascii="宋体" w:hAnsi="宋体" w:eastAsia="宋体" w:cs="宋体"/>
          <w:color w:val="auto"/>
          <w:sz w:val="22"/>
          <w:szCs w:val="22"/>
        </w:rPr>
      </w:pPr>
      <w:r>
        <w:rPr>
          <w:rFonts w:ascii="宋体" w:hAnsi="宋体" w:eastAsia="宋体" w:cs="宋体"/>
          <w:b/>
          <w:color w:val="auto"/>
          <w:sz w:val="22"/>
          <w:szCs w:val="22"/>
        </w:rPr>
        <w:t>附表一：</w:t>
      </w:r>
      <w:r>
        <w:rPr>
          <w:rFonts w:ascii="宋体" w:hAnsi="宋体" w:eastAsia="宋体" w:cs="宋体"/>
          <w:b/>
          <w:color w:val="auto"/>
          <w:sz w:val="22"/>
          <w:szCs w:val="22"/>
          <w:lang w:eastAsia="zh-CN"/>
        </w:rPr>
        <w:t>东莞市博物馆公共服务项目</w:t>
      </w:r>
    </w:p>
    <w:p w14:paraId="01DAA50F">
      <w:pPr>
        <w:pStyle w:val="15"/>
        <w:spacing w:line="400" w:lineRule="exact"/>
        <w:jc w:val="both"/>
        <w:rPr>
          <w:rFonts w:hint="default" w:ascii="宋体" w:hAnsi="宋体" w:eastAsia="宋体" w:cs="宋体"/>
          <w:b/>
          <w:sz w:val="22"/>
          <w:szCs w:val="22"/>
          <w:lang w:eastAsia="zh-CN"/>
        </w:rPr>
      </w:pPr>
      <w:r>
        <w:rPr>
          <w:rFonts w:ascii="宋体" w:hAnsi="宋体" w:eastAsia="宋体" w:cs="宋体"/>
          <w:b/>
          <w:sz w:val="22"/>
          <w:szCs w:val="22"/>
          <w:lang w:eastAsia="zh-CN"/>
        </w:rPr>
        <w:t>一</w:t>
      </w:r>
      <w:r>
        <w:rPr>
          <w:rFonts w:ascii="宋体" w:hAnsi="宋体" w:eastAsia="宋体" w:cs="宋体"/>
          <w:b/>
          <w:sz w:val="22"/>
          <w:szCs w:val="22"/>
        </w:rPr>
        <w:t>、</w:t>
      </w:r>
      <w:r>
        <w:rPr>
          <w:rFonts w:ascii="宋体" w:hAnsi="宋体" w:eastAsia="宋体" w:cs="宋体"/>
          <w:b/>
          <w:sz w:val="22"/>
          <w:szCs w:val="22"/>
          <w:lang w:eastAsia="zh-CN"/>
        </w:rPr>
        <w:t>服务内容及要求</w:t>
      </w:r>
    </w:p>
    <w:p w14:paraId="06581BE8">
      <w:pPr>
        <w:pStyle w:val="15"/>
        <w:spacing w:line="400" w:lineRule="exact"/>
        <w:jc w:val="both"/>
        <w:rPr>
          <w:rFonts w:hint="default" w:ascii="宋体" w:hAnsi="宋体" w:eastAsia="宋体" w:cs="宋体"/>
          <w:b/>
          <w:sz w:val="22"/>
          <w:szCs w:val="22"/>
          <w:lang w:eastAsia="zh-CN"/>
        </w:rPr>
      </w:pPr>
      <w:r>
        <w:rPr>
          <w:rFonts w:ascii="宋体" w:hAnsi="宋体" w:eastAsia="宋体" w:cs="宋体"/>
          <w:b/>
          <w:sz w:val="22"/>
          <w:szCs w:val="22"/>
          <w:lang w:eastAsia="zh-CN"/>
        </w:rPr>
        <w:t>（一）公益讲解接待服务</w:t>
      </w:r>
    </w:p>
    <w:p w14:paraId="33F2082B">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1.服务内容：合作期内单一年度讲解服务不低于1878场，其中，基本陈列展每日讲解2场，全年服务313天，累计不低于626场；专题展览每日讲解2场，全年服务313天，累计不低于626场；团队接待专项平均每日讲解2场，全年服务313天，累计不低于626场。如遇展览调整期间，无法开展该展览讲解服务之场次，调整至其他开放展览或团队接待专项，以保证全年讲解服务场次。</w:t>
      </w:r>
    </w:p>
    <w:p w14:paraId="2BA66A72">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2.服务要求：</w:t>
      </w:r>
    </w:p>
    <w:p w14:paraId="48657429">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（1）讲解内容需严格遵循我馆审核通过的陈列大纲及讲解词，保证内容无杜撰、不歪曲，同时使用规范的讲解语言开展服务。</w:t>
      </w:r>
    </w:p>
    <w:p w14:paraId="1B20C431">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（2）精准适配受众，优化讲解体验。讲解员需结合受众的年龄层次、文化背景及需求特点，灵活调整讲解方式、语言风格及内容深浅，确保不同群体均可清晰理解展品内涵，提升参观体验感。</w:t>
      </w:r>
    </w:p>
    <w:p w14:paraId="37AC1086">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（3）讲解服务需覆盖博物馆常规开放及延时开放全时段。</w:t>
      </w:r>
    </w:p>
    <w:p w14:paraId="67EEDA5E">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（4）讲解服务包含预约、接待等全流程工作，应主动解答观众提问、收集反馈并优化服务，能妥善处理观众身体不适、设备故障等突发情况，旺季及时增配讲解员、增加服务班次。</w:t>
      </w:r>
    </w:p>
    <w:p w14:paraId="40A24385">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（5）讲解服务水平需满足我馆所有规格的政务接待工作要求。</w:t>
      </w:r>
    </w:p>
    <w:p w14:paraId="04D086AB">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（6）讲解服务需开展观众满意度调查，观众满意度不得低于90%。</w:t>
      </w:r>
    </w:p>
    <w:p w14:paraId="44079629">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7）开展全流程入门培训，涵盖博物馆馆藏文物基础知识、展厅展陈脉络、场馆参观规范、基础服务礼仪、安全应急处置、活动基础流程等内容，经馆方考核合格后方可上岗。按季度组织在岗人员巩固培训，更新新增展品、临时特展相关讲解内容，优化讲解话术、活动授课逻辑。</w:t>
      </w:r>
    </w:p>
    <w:p w14:paraId="77CB4601">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（8）组织讲解员代表我馆参加国家级、省级、市级讲解比赛、宣讲活动等，展示我馆形象。</w:t>
      </w:r>
    </w:p>
    <w:p w14:paraId="29F17B21">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（9）向博物馆提供讲解员档案表、花名册、身份证及学历证复印件、无犯罪证明等材料备案。</w:t>
      </w:r>
    </w:p>
    <w:p w14:paraId="17D5510B">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（10）讲解专用设备（无线一对多非扩音讲解器）、人员服装、物料耗材等均由合作方自行承担，经我馆认可后方可投入使用。</w:t>
      </w:r>
    </w:p>
    <w:p w14:paraId="4D08EC85">
      <w:pPr>
        <w:pStyle w:val="15"/>
        <w:spacing w:line="400" w:lineRule="exact"/>
        <w:jc w:val="both"/>
        <w:rPr>
          <w:rFonts w:hint="default" w:ascii="宋体" w:hAnsi="宋体" w:eastAsia="宋体" w:cs="宋体"/>
          <w:b/>
          <w:sz w:val="22"/>
          <w:szCs w:val="22"/>
          <w:lang w:eastAsia="zh-CN"/>
        </w:rPr>
      </w:pPr>
      <w:r>
        <w:rPr>
          <w:rFonts w:ascii="宋体" w:hAnsi="宋体" w:eastAsia="宋体" w:cs="宋体"/>
          <w:b/>
          <w:sz w:val="22"/>
          <w:szCs w:val="22"/>
          <w:lang w:eastAsia="zh-CN"/>
        </w:rPr>
        <w:t>（二）公益教育活动服务</w:t>
      </w:r>
    </w:p>
    <w:p w14:paraId="15E49627">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1.服务内容：合作期内单一年度公益教育活动不低于324场，其中，研学课室活动每周2场，全年执行52周，累计至少完成104场，单场活动时长不低于1.5小时，研学活动室单场参与人数不低于30人，考古研学室单场参与人数不低于10人，不高于15人；多功能厅活动每周1场，全年执行52周，累计至少完成52场，活动需成系列开展，单场时长不低于2小时，单场参与人数不低于50人；展区教育区域活动每周2场，全年执行52周，累计至少完成104场，需结合当期热点、重点展览开展，并在对应展厅落地执行；共建学校专项活动每周2场，全年执行32周，累计至少完成64场，活动需成系列开展，面向馆校共建合作学校定向执行。</w:t>
      </w:r>
    </w:p>
    <w:p w14:paraId="74D52798">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2.服务要求：</w:t>
      </w:r>
    </w:p>
    <w:p w14:paraId="58E3D605">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1）立足馆藏文物与文化资源打造分层、多元博物馆教育体系，面向全年龄段人群规划适配性活动内容。针对青少年群体深度对接中小学课程、新课标标准及各学科专业知识点，深挖藏品承载的历史文脉与人文教育内核；同步兼顾幼儿、成年观众、老年群体的认知特点与学习需求，开发分龄、分类特色体验项目。整套教育体系配套完整原创教学素材与实操教具，坚持内容自主研发，兼顾知识性、趣味性与沉浸式实践体验，全面覆盖全生命周期公众文化教育服务。</w:t>
      </w:r>
    </w:p>
    <w:p w14:paraId="5761FA64">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2）打造东莞市博物馆专属品牌IP，构建标准化、体系化的博物馆社会教育体系，积极申报国家级、省级、市级文博文旅领域权威奖项，重点聚焦全国文博社教十佳优秀案例、全国文旅融合创新示范项目、全国博物馆馆校合作标杆案例等国家级核心奖项，持续强化东莞市博物馆社教品牌的行业话语权与专业影响力，扩大公众传播声量，夯实馆方在粤港澳大湾区文博社教领域的标杆地位，有效赋能东莞区域文旅品牌核心价值的全面跃升，实现社教服务专业进阶、品牌 IP 破圈传播、区域文旅价值的全面升级。</w:t>
      </w:r>
    </w:p>
    <w:p w14:paraId="6374C9A0">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（3）应具备研学课室活动、多功能厅活动、展区教育区域活动、共建学校专项活动的独立开发、设计能力，具备打造数字化课程的能力。</w:t>
      </w:r>
    </w:p>
    <w:p w14:paraId="10F45F20">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（4）建立多维度课程效果评估机制，通过学生反馈、教师评价等方式持续优化内容与服务，活动结束后留存影像资料及总结报告，纳入馆方教育资源库。</w:t>
      </w:r>
    </w:p>
    <w:p w14:paraId="738E91A6">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5）规范团队管理，按需开展细分专项课程，包含中小学课标对应社教课程设计、未成年人研学引导技巧、老年观众适配讲解方式、活动互动实操、文物讲解规范、突发事件应急处理等针对性培训，与馆方明确权责划分，积极配合日常协调与监督。</w:t>
      </w:r>
    </w:p>
    <w:p w14:paraId="32E766D8">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（6）结合博物馆先进的教育理念，采用启发式、PBL、沉浸式等多元教学方式，保证活动高质量开展。</w:t>
      </w:r>
    </w:p>
    <w:p w14:paraId="6F9755B2">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（7）配合馆方开展质量评估，及时改进服务流程，建立服务档案，留存活动记录与人员资质，确保运营规范有序，提升公众文化体验。</w:t>
      </w:r>
    </w:p>
    <w:p w14:paraId="16B0F729">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 xml:space="preserve">（8）合理配置师资力量，严格维护现场活动秩序，引导学生遵守场馆秩序，规范参观行为。切实落实研学、社教活动的安全应急预案，全程做好人员看护与隐患排查工作，妥善处理各类突发状况，确保研学、社教活动安全有序开展。 </w:t>
      </w:r>
    </w:p>
    <w:p w14:paraId="5FEF3EAE">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（9）建立服务满意度调查机制，从课程内容、服务品质、服务时长等多维度进行考察，服务对象满意度不得低于90%。</w:t>
      </w:r>
    </w:p>
    <w:p w14:paraId="639BDF39">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（10）所有活动方案、课程内容须经我馆审核通过后方可实施，课程研发、物料制作、师资劳务、宣传推广等所有费用均由合作方自行承担。</w:t>
      </w:r>
    </w:p>
    <w:p w14:paraId="39711F49">
      <w:pPr>
        <w:pStyle w:val="15"/>
        <w:spacing w:line="400" w:lineRule="exact"/>
        <w:jc w:val="both"/>
        <w:rPr>
          <w:rFonts w:hint="default" w:ascii="宋体" w:hAnsi="宋体" w:eastAsia="宋体" w:cs="宋体"/>
          <w:b/>
          <w:sz w:val="22"/>
          <w:szCs w:val="22"/>
          <w:lang w:eastAsia="zh-CN"/>
        </w:rPr>
      </w:pPr>
      <w:r>
        <w:rPr>
          <w:rFonts w:ascii="宋体" w:hAnsi="宋体" w:eastAsia="宋体" w:cs="宋体"/>
          <w:b/>
          <w:sz w:val="22"/>
          <w:szCs w:val="22"/>
          <w:lang w:eastAsia="zh-CN"/>
        </w:rPr>
        <w:t>（三）信息化管理服务</w:t>
      </w:r>
    </w:p>
    <w:p w14:paraId="5AE9F821">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服务内容：围绕讲解服务和公益教育活动，搭建一体化信息化管理平台，覆盖预约排班、活动报名、执行跟踪、效果评估、数据归档等核心环节，实现服务流程规范化、过程可追溯、数据可分析，支撑馆方运营决策和服务优化。</w:t>
      </w:r>
    </w:p>
    <w:p w14:paraId="768F537B">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服务要求：</w:t>
      </w:r>
    </w:p>
    <w:p w14:paraId="7119F3A5">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1.总体要求：本管理平台需功能体系完备、运行安全稳定、操作便捷高效、数据互通可靠，可全方位支撑业务标准化管控与长效运维。</w:t>
      </w:r>
    </w:p>
    <w:p w14:paraId="5A5A0324">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2.功能要求：</w:t>
      </w:r>
    </w:p>
    <w:p w14:paraId="139DCFB4">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（1）讲解服务信息化管理</w:t>
      </w:r>
    </w:p>
    <w:p w14:paraId="348EE229">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 1）观众预约管理：支持个人、团队（含专项接待）通过馆方小程序/公众号统一入口进行预约。预约时，用户可选择讲解类型、服务语言（支持多语种扩展）及具体时段（实时显示剩余名额）。支持用户在预约时段开始前规定时间内在线修改或取消预约。</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提供平台所有人出具的平台功能说明或检测报告并加盖投标人公章。</w:t>
      </w:r>
      <w:r>
        <w:rPr>
          <w:rFonts w:hint="eastAsia" w:ascii="宋体" w:hAnsi="宋体" w:eastAsia="宋体" w:cs="宋体"/>
          <w:sz w:val="22"/>
          <w:szCs w:val="22"/>
          <w:lang w:eastAsia="zh-CN"/>
        </w:rPr>
        <w:t>）</w:t>
      </w:r>
    </w:p>
    <w:p w14:paraId="03611592">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 2）讲解员移动端：对现场观众提供现场讲解服务订单的创建、支付、讲解服务，支持散客、团队、公益等服务类型；支持讲解中观众插队，灵活应对现场突发情况；支持查看讲解员个人排班信息；支持对个人讲解记录查询及统计，实现工作数字化管理。</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提供平台所有人出具的平台功能说明或检测报告并加盖投标人公章。</w:t>
      </w:r>
      <w:r>
        <w:rPr>
          <w:rFonts w:hint="eastAsia" w:ascii="宋体" w:hAnsi="宋体" w:eastAsia="宋体" w:cs="宋体"/>
          <w:sz w:val="22"/>
          <w:szCs w:val="22"/>
          <w:lang w:eastAsia="zh-CN"/>
        </w:rPr>
        <w:t>）</w:t>
      </w:r>
    </w:p>
    <w:p w14:paraId="577E0BEC">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 3）管理员移动端：支持对讲解员进行灵活的排班调度，优化人力配置；支持手动订单退款操作，高效处理特殊订单需求；全面汇总所有讲解服务记录，方便查阅与追溯；支持实时查看业绩（包括历史服务详情、人数、金额、时间等），为管理提供数据支持。</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提供平台所有人出具的平台功能说明或检测报告并加盖投标人公章。</w:t>
      </w:r>
      <w:r>
        <w:rPr>
          <w:rFonts w:hint="eastAsia" w:ascii="宋体" w:hAnsi="宋体" w:eastAsia="宋体" w:cs="宋体"/>
          <w:sz w:val="22"/>
          <w:szCs w:val="22"/>
          <w:lang w:eastAsia="zh-CN"/>
        </w:rPr>
        <w:t>）</w:t>
      </w:r>
    </w:p>
    <w:p w14:paraId="30850923">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 4）数据看板移动端：可实时查看讲解服务、营收等核心数据指标，支持按今日 / 本周 / 本月及自定义时间范围查询。从讲解场次、讲解时长、服务人数、服务金额等多维度分析展示可视化数据，支撑运营决策。</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提供平台所有人出具的平台功能说明或检测报告并加盖投标人公章。</w:t>
      </w:r>
      <w:r>
        <w:rPr>
          <w:rFonts w:hint="eastAsia" w:ascii="宋体" w:hAnsi="宋体" w:eastAsia="宋体" w:cs="宋体"/>
          <w:sz w:val="22"/>
          <w:szCs w:val="22"/>
          <w:lang w:eastAsia="zh-CN"/>
        </w:rPr>
        <w:t>）</w:t>
      </w:r>
    </w:p>
    <w:p w14:paraId="02113EC8">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5）后台管理：</w:t>
      </w:r>
    </w:p>
    <w:p w14:paraId="597A288B">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 a</w:t>
      </w:r>
      <w:r>
        <w:rPr>
          <w:rFonts w:hint="default" w:ascii="宋体" w:hAnsi="宋体" w:eastAsia="宋体" w:cs="宋体"/>
          <w:sz w:val="22"/>
          <w:szCs w:val="22"/>
          <w:lang w:eastAsia="zh-CN"/>
        </w:rPr>
        <w:t>.</w:t>
      </w:r>
      <w:r>
        <w:rPr>
          <w:rFonts w:ascii="宋体" w:hAnsi="宋体" w:eastAsia="宋体" w:cs="宋体"/>
          <w:sz w:val="22"/>
          <w:szCs w:val="22"/>
          <w:lang w:eastAsia="zh-CN"/>
        </w:rPr>
        <w:t>产品管理：支持讲解产品全信息（名称、所属场馆、上下架状态、产品类型、基础金额、人数相关、语种、讲解标签、时长等）的新增、编辑、维护；支持单条产品上下架操作及列表展示。</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提供平台所有人出具的平台功能说明或检测报告并加盖投标人公章。</w:t>
      </w:r>
      <w:r>
        <w:rPr>
          <w:rFonts w:hint="eastAsia" w:ascii="宋体" w:hAnsi="宋体" w:eastAsia="宋体" w:cs="宋体"/>
          <w:sz w:val="22"/>
          <w:szCs w:val="22"/>
          <w:lang w:eastAsia="zh-CN"/>
        </w:rPr>
        <w:t>）</w:t>
      </w:r>
    </w:p>
    <w:p w14:paraId="098757A8">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 b</w:t>
      </w:r>
      <w:r>
        <w:rPr>
          <w:rFonts w:hint="default" w:ascii="宋体" w:hAnsi="宋体" w:eastAsia="宋体" w:cs="宋体"/>
          <w:sz w:val="22"/>
          <w:szCs w:val="22"/>
          <w:lang w:eastAsia="zh-CN"/>
        </w:rPr>
        <w:t>.</w:t>
      </w:r>
      <w:r>
        <w:rPr>
          <w:rFonts w:ascii="宋体" w:hAnsi="宋体" w:eastAsia="宋体" w:cs="宋体"/>
          <w:sz w:val="22"/>
          <w:szCs w:val="22"/>
          <w:lang w:eastAsia="zh-CN"/>
        </w:rPr>
        <w:t>讲解员信息管理：建立统一的讲解员电子档案，至少包含：基本信息（姓名、工号、照片、语种、资质等级、入职时间）、服务统计、奖惩记录及培训记录。支持按多条件（语种、资质、在岗状态等）组合查询、快速更新，并提供增删改查功能。信息变更须自动留存操作日志，确保数据可追溯。</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提供平台所有人出具的平台功能说明或检测报告并加盖投标人公章。</w:t>
      </w:r>
      <w:r>
        <w:rPr>
          <w:rFonts w:hint="eastAsia" w:ascii="宋体" w:hAnsi="宋体" w:eastAsia="宋体" w:cs="宋体"/>
          <w:sz w:val="22"/>
          <w:szCs w:val="22"/>
          <w:lang w:eastAsia="zh-CN"/>
        </w:rPr>
        <w:t>）</w:t>
      </w:r>
    </w:p>
    <w:p w14:paraId="39DA78C4">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 c</w:t>
      </w:r>
      <w:r>
        <w:rPr>
          <w:rFonts w:hint="default" w:ascii="宋体" w:hAnsi="宋体" w:eastAsia="宋体" w:cs="宋体"/>
          <w:sz w:val="22"/>
          <w:szCs w:val="22"/>
          <w:lang w:eastAsia="zh-CN"/>
        </w:rPr>
        <w:t>.</w:t>
      </w:r>
      <w:r>
        <w:rPr>
          <w:rFonts w:ascii="宋体" w:hAnsi="宋体" w:eastAsia="宋体" w:cs="宋体"/>
          <w:sz w:val="22"/>
          <w:szCs w:val="22"/>
          <w:lang w:eastAsia="zh-CN"/>
        </w:rPr>
        <w:t>排班管理：支持根据讲解类型进行可视化排班（月/周/日视图）。可结合客流及讲解员在岗状态灵活调整，支持拖拽调班并留存操作日志。系统应具备冲突检测与负载均衡预警功能。</w:t>
      </w:r>
    </w:p>
    <w:p w14:paraId="073FABEB">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 d</w:t>
      </w:r>
      <w:r>
        <w:rPr>
          <w:rFonts w:hint="default" w:ascii="宋体" w:hAnsi="宋体" w:eastAsia="宋体" w:cs="宋体"/>
          <w:sz w:val="22"/>
          <w:szCs w:val="22"/>
          <w:lang w:eastAsia="zh-CN"/>
        </w:rPr>
        <w:t>.</w:t>
      </w:r>
      <w:r>
        <w:rPr>
          <w:rFonts w:ascii="宋体" w:hAnsi="宋体" w:eastAsia="宋体" w:cs="宋体"/>
          <w:sz w:val="22"/>
          <w:szCs w:val="22"/>
          <w:lang w:eastAsia="zh-CN"/>
        </w:rPr>
        <w:t>订单管理：提供讲解服务订单的全流程查询与管理能力，可按日期范围、订单状态、订单编号等多维度筛选，展示订单核心信息（编号、金额、产品名称、日期、状态等），支持查看订单详情，为订单履约、财务结算及运营分析提供数据支撑。</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提供平台所有人出具的平台功能说明或检测报告并加盖投标人公章。</w:t>
      </w:r>
      <w:r>
        <w:rPr>
          <w:rFonts w:hint="eastAsia" w:ascii="宋体" w:hAnsi="宋体" w:eastAsia="宋体" w:cs="宋体"/>
          <w:sz w:val="22"/>
          <w:szCs w:val="22"/>
          <w:lang w:eastAsia="zh-CN"/>
        </w:rPr>
        <w:t>）</w:t>
      </w:r>
    </w:p>
    <w:p w14:paraId="4096CA15">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 e</w:t>
      </w:r>
      <w:r>
        <w:rPr>
          <w:rFonts w:hint="default" w:ascii="宋体" w:hAnsi="宋体" w:eastAsia="宋体" w:cs="宋体"/>
          <w:sz w:val="22"/>
          <w:szCs w:val="22"/>
          <w:lang w:eastAsia="zh-CN"/>
        </w:rPr>
        <w:t>.</w:t>
      </w:r>
      <w:r>
        <w:rPr>
          <w:rFonts w:ascii="宋体" w:hAnsi="宋体" w:eastAsia="宋体" w:cs="宋体"/>
          <w:sz w:val="22"/>
          <w:szCs w:val="22"/>
          <w:lang w:eastAsia="zh-CN"/>
        </w:rPr>
        <w:t>讲解记录管理：提供讲解服务全流程记录的查询与追溯能力，支持讲解服务全流程记录查询追溯，可按讲解员、日期范围、记录ID多维度筛选，展示记录核心信息（记录ID、讲解员、日期、时长、场馆等），支持查看详情，为绩效核算、服务质量评估及运营分析提供数据支撑。</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提供平台所有人出具的平台功能说明或检测报告并加盖投标人公章。</w:t>
      </w:r>
      <w:r>
        <w:rPr>
          <w:rFonts w:hint="eastAsia" w:ascii="宋体" w:hAnsi="宋体" w:eastAsia="宋体" w:cs="宋体"/>
          <w:sz w:val="22"/>
          <w:szCs w:val="22"/>
          <w:lang w:eastAsia="zh-CN"/>
        </w:rPr>
        <w:t>）</w:t>
      </w:r>
    </w:p>
    <w:p w14:paraId="6319474E">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 f</w:t>
      </w:r>
      <w:r>
        <w:rPr>
          <w:rFonts w:hint="default" w:ascii="宋体" w:hAnsi="宋体" w:eastAsia="宋体" w:cs="宋体"/>
          <w:sz w:val="22"/>
          <w:szCs w:val="22"/>
          <w:lang w:eastAsia="zh-CN"/>
        </w:rPr>
        <w:t>.</w:t>
      </w:r>
      <w:r>
        <w:rPr>
          <w:rFonts w:ascii="宋体" w:hAnsi="宋体" w:eastAsia="宋体" w:cs="宋体"/>
          <w:sz w:val="22"/>
          <w:szCs w:val="22"/>
          <w:lang w:eastAsia="zh-CN"/>
        </w:rPr>
        <w:t>统计分析管理：支持讲解运营数据多维度统计分析，可按日期范围筛选，展示总场次、总订单数、总服务人数、总金额等核心指标，呈现日期维度明细数据及单日内讲解员详情；支持Excel导出，为运营决策、绩效核算提供直观可追溯的数据支撑。</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提供平台所有人出具的平台功能说明或检测报告并加盖投标人公章。</w:t>
      </w:r>
      <w:r>
        <w:rPr>
          <w:rFonts w:hint="eastAsia" w:ascii="宋体" w:hAnsi="宋体" w:eastAsia="宋体" w:cs="宋体"/>
          <w:sz w:val="22"/>
          <w:szCs w:val="22"/>
          <w:lang w:eastAsia="zh-CN"/>
        </w:rPr>
        <w:t>）</w:t>
      </w:r>
    </w:p>
    <w:p w14:paraId="21FFD23F">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 g</w:t>
      </w:r>
      <w:r>
        <w:rPr>
          <w:rFonts w:hint="default" w:ascii="宋体" w:hAnsi="宋体" w:eastAsia="宋体" w:cs="宋体"/>
          <w:sz w:val="22"/>
          <w:szCs w:val="22"/>
          <w:lang w:eastAsia="zh-CN"/>
        </w:rPr>
        <w:t>.</w:t>
      </w:r>
      <w:r>
        <w:rPr>
          <w:rFonts w:ascii="宋体" w:hAnsi="宋体" w:eastAsia="宋体" w:cs="宋体"/>
          <w:sz w:val="22"/>
          <w:szCs w:val="22"/>
          <w:lang w:eastAsia="zh-CN"/>
        </w:rPr>
        <w:t>角色管理：支持按管理员、讲解员负责人等角色创建独立权限账号，实现权限分级管控，确保操作合规有序。</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提供平台所有人出具的平台功能说明或检测报告并加盖投标人公章。</w:t>
      </w:r>
      <w:r>
        <w:rPr>
          <w:rFonts w:hint="eastAsia" w:ascii="宋体" w:hAnsi="宋体" w:eastAsia="宋体" w:cs="宋体"/>
          <w:sz w:val="22"/>
          <w:szCs w:val="22"/>
          <w:lang w:eastAsia="zh-CN"/>
        </w:rPr>
        <w:t>）</w:t>
      </w:r>
    </w:p>
    <w:p w14:paraId="15D3C986">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w:t>
      </w:r>
      <w:r>
        <w:rPr>
          <w:rFonts w:hint="default" w:ascii="宋体" w:hAnsi="宋体" w:eastAsia="宋体" w:cs="宋体"/>
          <w:sz w:val="22"/>
          <w:szCs w:val="22"/>
          <w:lang w:eastAsia="zh-CN"/>
        </w:rPr>
        <w:t>2</w:t>
      </w:r>
      <w:r>
        <w:rPr>
          <w:rFonts w:ascii="宋体" w:hAnsi="宋体" w:eastAsia="宋体" w:cs="宋体"/>
          <w:sz w:val="22"/>
          <w:szCs w:val="22"/>
          <w:lang w:eastAsia="zh-CN"/>
        </w:rPr>
        <w:t>） 教育活动信息化管理</w:t>
      </w:r>
    </w:p>
    <w:p w14:paraId="4E27B2AF">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 1）预约管理：搭建线上报名模块，通过馆方小程序/公众号统一入口对外提供服务。支持个人、团体报名。可针对每场活动设置报名条件（如年龄）、报名时段及人数上限（个人与团队可分别设限）。系统自动统计报名人数，满额后自动关闭通道。</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提供平台所有人出具的平台功能说明或检测报告并加盖投标人公章。</w:t>
      </w:r>
      <w:r>
        <w:rPr>
          <w:rFonts w:hint="eastAsia" w:ascii="宋体" w:hAnsi="宋体" w:eastAsia="宋体" w:cs="宋体"/>
          <w:sz w:val="22"/>
          <w:szCs w:val="22"/>
          <w:lang w:eastAsia="zh-CN"/>
        </w:rPr>
        <w:t>）</w:t>
      </w:r>
    </w:p>
    <w:p w14:paraId="7E13FCAB">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2）后台管理：</w:t>
      </w:r>
    </w:p>
    <w:p w14:paraId="356C0282">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 a</w:t>
      </w:r>
      <w:r>
        <w:rPr>
          <w:rFonts w:hint="default" w:ascii="宋体" w:hAnsi="宋体" w:eastAsia="宋体" w:cs="宋体"/>
          <w:sz w:val="22"/>
          <w:szCs w:val="22"/>
          <w:lang w:eastAsia="zh-CN"/>
        </w:rPr>
        <w:t>.</w:t>
      </w:r>
      <w:r>
        <w:rPr>
          <w:rFonts w:ascii="宋体" w:hAnsi="宋体" w:eastAsia="宋体" w:cs="宋体"/>
          <w:sz w:val="22"/>
          <w:szCs w:val="22"/>
          <w:lang w:eastAsia="zh-CN"/>
        </w:rPr>
        <w:t>活动管理：支持课程信息（名称、所属场馆、上下架状态、课程类型、基础金额、人数、场次相关等）的新增、编辑、维护；支持单条课程上下架操作及列表展示。支持为教育活动创建多场次、多时段班次，自定义每场班次的开始 / 结束时间、容纳人数、负责人。支持班次新增、编辑、删除；可实时显示班次剩余名额、已报名人数，满额自动锁定报名。</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提供平台所有人出具的平台功能说明或检测报告并加盖投标人公章。</w:t>
      </w:r>
      <w:r>
        <w:rPr>
          <w:rFonts w:hint="eastAsia" w:ascii="宋体" w:hAnsi="宋体" w:eastAsia="宋体" w:cs="宋体"/>
          <w:sz w:val="22"/>
          <w:szCs w:val="22"/>
          <w:lang w:eastAsia="zh-CN"/>
        </w:rPr>
        <w:t>）</w:t>
      </w:r>
    </w:p>
    <w:p w14:paraId="27D88CC3">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 b</w:t>
      </w:r>
      <w:r>
        <w:rPr>
          <w:rFonts w:hint="default" w:ascii="宋体" w:hAnsi="宋体" w:eastAsia="宋体" w:cs="宋体"/>
          <w:sz w:val="22"/>
          <w:szCs w:val="22"/>
          <w:lang w:eastAsia="zh-CN"/>
        </w:rPr>
        <w:t>.</w:t>
      </w:r>
      <w:r>
        <w:rPr>
          <w:rFonts w:ascii="宋体" w:hAnsi="宋体" w:eastAsia="宋体" w:cs="宋体"/>
          <w:sz w:val="22"/>
          <w:szCs w:val="22"/>
          <w:lang w:eastAsia="zh-CN"/>
        </w:rPr>
        <w:t>活动分类管理：支持自定义活动标签体系，比如讲座、半日营、冬夏令营、工作坊、研学、进校园、馆校合作、亲子互动、专题展览等分类标签。可对活动进行多标签绑定，支持按标签快速筛选、检索、归类展示；支持分类新增 / 编辑 / 删除分类、分类状态管控，实现活动标准化、精细化分类管理，便于运营统筹与用户快速查找。</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提供平台所有人出具的平台功能说明或检测报告并加盖投标人公章。</w:t>
      </w:r>
      <w:r>
        <w:rPr>
          <w:rFonts w:hint="eastAsia" w:ascii="宋体" w:hAnsi="宋体" w:eastAsia="宋体" w:cs="宋体"/>
          <w:sz w:val="22"/>
          <w:szCs w:val="22"/>
          <w:lang w:eastAsia="zh-CN"/>
        </w:rPr>
        <w:t>）</w:t>
      </w:r>
    </w:p>
    <w:p w14:paraId="4D3A19C1">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 c</w:t>
      </w:r>
      <w:r>
        <w:rPr>
          <w:rFonts w:hint="default" w:ascii="宋体" w:hAnsi="宋体" w:eastAsia="宋体" w:cs="宋体"/>
          <w:sz w:val="22"/>
          <w:szCs w:val="22"/>
          <w:lang w:eastAsia="zh-CN"/>
        </w:rPr>
        <w:t>.</w:t>
      </w:r>
      <w:r>
        <w:rPr>
          <w:rFonts w:ascii="宋体" w:hAnsi="宋体" w:eastAsia="宋体" w:cs="宋体"/>
          <w:sz w:val="22"/>
          <w:szCs w:val="22"/>
          <w:lang w:eastAsia="zh-CN"/>
        </w:rPr>
        <w:t>订单管理：提供活动报名订单的全流程查询与管理能力，可按日期范围、订单状态、订单编号等多维度筛选，展示订单核心信息（编号、金额、活动名称、日期、状态等），支持查看订单详情，支持订单导出功能，为订单履约、财务结算及运营分析提供数据支撑。</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提供平台所有人出具的平台功能说明或检测报告并加盖投标人公章。</w:t>
      </w:r>
      <w:r>
        <w:rPr>
          <w:rFonts w:hint="eastAsia" w:ascii="宋体" w:hAnsi="宋体" w:eastAsia="宋体" w:cs="宋体"/>
          <w:sz w:val="22"/>
          <w:szCs w:val="22"/>
          <w:lang w:eastAsia="zh-CN"/>
        </w:rPr>
        <w:t>）</w:t>
      </w:r>
    </w:p>
    <w:p w14:paraId="4D6FBA1F">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 d</w:t>
      </w:r>
      <w:r>
        <w:rPr>
          <w:rFonts w:hint="default" w:ascii="宋体" w:hAnsi="宋体" w:eastAsia="宋体" w:cs="宋体"/>
          <w:sz w:val="22"/>
          <w:szCs w:val="22"/>
          <w:lang w:eastAsia="zh-CN"/>
        </w:rPr>
        <w:t>.</w:t>
      </w:r>
      <w:r>
        <w:rPr>
          <w:rFonts w:ascii="宋体" w:hAnsi="宋体" w:eastAsia="宋体" w:cs="宋体"/>
          <w:sz w:val="22"/>
          <w:szCs w:val="22"/>
          <w:lang w:eastAsia="zh-CN"/>
        </w:rPr>
        <w:t>课程资源管理：建立标准化课程档案库，支持按主题、年龄段、活动类型等维度分类管理，支持上传课件PPT、教学视频、图片等资源。支持课程复用（快速引用至不同活动）及版本管理（修改生成新版本，旧版本可回溯），保留版本变更记录。</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提供平台所有人出具的平台功能说明或检测报告并加盖投标人公章。</w:t>
      </w:r>
      <w:r>
        <w:rPr>
          <w:rFonts w:hint="eastAsia" w:ascii="宋体" w:hAnsi="宋体" w:eastAsia="宋体" w:cs="宋体"/>
          <w:sz w:val="22"/>
          <w:szCs w:val="22"/>
          <w:lang w:eastAsia="zh-CN"/>
        </w:rPr>
        <w:t>）</w:t>
      </w:r>
    </w:p>
    <w:p w14:paraId="74DCCF12">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 e</w:t>
      </w:r>
      <w:r>
        <w:rPr>
          <w:rFonts w:hint="default" w:ascii="宋体" w:hAnsi="宋体" w:eastAsia="宋体" w:cs="宋体"/>
          <w:sz w:val="22"/>
          <w:szCs w:val="22"/>
          <w:lang w:eastAsia="zh-CN"/>
        </w:rPr>
        <w:t>.</w:t>
      </w:r>
      <w:r>
        <w:rPr>
          <w:rFonts w:ascii="宋体" w:hAnsi="宋体" w:eastAsia="宋体" w:cs="宋体"/>
          <w:sz w:val="22"/>
          <w:szCs w:val="22"/>
          <w:lang w:eastAsia="zh-CN"/>
        </w:rPr>
        <w:t xml:space="preserve">评价管理：支持用户对研学课程 / 活动、在线课程 / 活动进行等级评价与文字评价。系统自动汇总评分数据，支持按活动名称、日期、评分等级等多维度筛选查询，可查看单条评价详情与用户信息。支持评价数据导出与口碑分析，为课程优化、服务提升、活动迭代提供数据依据。 </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提供平台所有人出具的平台功能说明或检测报告并加盖投标人公章。</w:t>
      </w:r>
      <w:r>
        <w:rPr>
          <w:rFonts w:hint="eastAsia" w:ascii="宋体" w:hAnsi="宋体" w:eastAsia="宋体" w:cs="宋体"/>
          <w:sz w:val="22"/>
          <w:szCs w:val="22"/>
          <w:lang w:eastAsia="zh-CN"/>
        </w:rPr>
        <w:t>）</w:t>
      </w:r>
    </w:p>
    <w:p w14:paraId="5BFDAA77">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 f</w:t>
      </w:r>
      <w:r>
        <w:rPr>
          <w:rFonts w:hint="default" w:ascii="宋体" w:hAnsi="宋体" w:eastAsia="宋体" w:cs="宋体"/>
          <w:sz w:val="22"/>
          <w:szCs w:val="22"/>
          <w:lang w:eastAsia="zh-CN"/>
        </w:rPr>
        <w:t>.</w:t>
      </w:r>
      <w:r>
        <w:rPr>
          <w:rFonts w:ascii="宋体" w:hAnsi="宋体" w:eastAsia="宋体" w:cs="宋体"/>
          <w:sz w:val="22"/>
          <w:szCs w:val="22"/>
          <w:lang w:eastAsia="zh-CN"/>
        </w:rPr>
        <w:t>统计分析管理：支持活动运营数据多维度统计分析，可按日期范围筛选，展示总活动场次、总订单数、总服务人数、总金额等核心指标，呈现日期维度明细数据；支持Excel导出，为运营决策提供直观可追溯的数据支撑。</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提供平台所有人出具的平台功能说明或检测报告并加盖投标人公章。</w:t>
      </w:r>
      <w:r>
        <w:rPr>
          <w:rFonts w:hint="eastAsia" w:ascii="宋体" w:hAnsi="宋体" w:eastAsia="宋体" w:cs="宋体"/>
          <w:sz w:val="22"/>
          <w:szCs w:val="22"/>
          <w:lang w:eastAsia="zh-CN"/>
        </w:rPr>
        <w:t>）</w:t>
      </w:r>
    </w:p>
    <w:p w14:paraId="0CABCA3E">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 g</w:t>
      </w:r>
      <w:r>
        <w:rPr>
          <w:rFonts w:hint="default" w:ascii="宋体" w:hAnsi="宋体" w:eastAsia="宋体" w:cs="宋体"/>
          <w:sz w:val="22"/>
          <w:szCs w:val="22"/>
          <w:lang w:eastAsia="zh-CN"/>
        </w:rPr>
        <w:t>.</w:t>
      </w:r>
      <w:r>
        <w:rPr>
          <w:rFonts w:ascii="宋体" w:hAnsi="宋体" w:eastAsia="宋体" w:cs="宋体"/>
          <w:sz w:val="22"/>
          <w:szCs w:val="22"/>
          <w:lang w:eastAsia="zh-CN"/>
        </w:rPr>
        <w:t>角色管理：支持按管理员、活动负责人等角色创建独立权限账号，实现分级分权管控，确保数据安全、流程合规有序。</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提供平台所有人出具的平台功能说明或检测报告并加盖投标人公章。</w:t>
      </w:r>
      <w:r>
        <w:rPr>
          <w:rFonts w:hint="eastAsia" w:ascii="宋体" w:hAnsi="宋体" w:eastAsia="宋体" w:cs="宋体"/>
          <w:sz w:val="22"/>
          <w:szCs w:val="22"/>
          <w:lang w:eastAsia="zh-CN"/>
        </w:rPr>
        <w:t>）</w:t>
      </w:r>
    </w:p>
    <w:p w14:paraId="688EB4CE">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3. 系统对接服务</w:t>
      </w:r>
    </w:p>
    <w:p w14:paraId="646AAA12">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w:t>
      </w:r>
      <w:r>
        <w:rPr>
          <w:rFonts w:hint="default" w:ascii="宋体" w:hAnsi="宋体" w:eastAsia="宋体" w:cs="宋体"/>
          <w:sz w:val="22"/>
          <w:szCs w:val="22"/>
          <w:lang w:eastAsia="zh-CN"/>
        </w:rPr>
        <w:t>1</w:t>
      </w:r>
      <w:r>
        <w:rPr>
          <w:rFonts w:ascii="宋体" w:hAnsi="宋体" w:eastAsia="宋体" w:cs="宋体"/>
          <w:sz w:val="22"/>
          <w:szCs w:val="22"/>
          <w:lang w:eastAsia="zh-CN"/>
        </w:rPr>
        <w:t>）系统对接：支持与馆方现有系统（如票务系统）对接，实现数据实时同步，打通数据壁垒。</w:t>
      </w:r>
    </w:p>
    <w:p w14:paraId="1E85D611">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w:t>
      </w:r>
      <w:r>
        <w:rPr>
          <w:rFonts w:hint="default" w:ascii="宋体" w:hAnsi="宋体" w:eastAsia="宋体" w:cs="宋体"/>
          <w:sz w:val="22"/>
          <w:szCs w:val="22"/>
          <w:lang w:eastAsia="zh-CN"/>
        </w:rPr>
        <w:t>2</w:t>
      </w:r>
      <w:r>
        <w:rPr>
          <w:rFonts w:ascii="宋体" w:hAnsi="宋体" w:eastAsia="宋体" w:cs="宋体"/>
          <w:sz w:val="22"/>
          <w:szCs w:val="22"/>
          <w:lang w:eastAsia="zh-CN"/>
        </w:rPr>
        <w:t>）公众服务入口统一：讲解预约、活动报名等公众服务功能通过馆方小程序/公众号统一入口提供，确保公众体验一致性。</w:t>
      </w:r>
    </w:p>
    <w:p w14:paraId="6D397791">
      <w:pPr>
        <w:pStyle w:val="15"/>
        <w:spacing w:line="400" w:lineRule="exact"/>
        <w:jc w:val="both"/>
        <w:rPr>
          <w:rFonts w:hint="default" w:ascii="宋体" w:hAnsi="宋体" w:eastAsia="宋体" w:cs="宋体"/>
          <w:b/>
          <w:sz w:val="22"/>
          <w:szCs w:val="22"/>
          <w:lang w:eastAsia="zh-CN"/>
        </w:rPr>
      </w:pPr>
      <w:r>
        <w:rPr>
          <w:rFonts w:ascii="宋体" w:hAnsi="宋体" w:eastAsia="宋体" w:cs="宋体"/>
          <w:b/>
          <w:sz w:val="22"/>
          <w:szCs w:val="22"/>
          <w:lang w:eastAsia="zh-CN"/>
        </w:rPr>
        <w:t>二、人员配置与管理要求</w:t>
      </w:r>
    </w:p>
    <w:p w14:paraId="4B661C9B">
      <w:pPr>
        <w:pStyle w:val="15"/>
        <w:spacing w:line="400" w:lineRule="exact"/>
        <w:jc w:val="both"/>
        <w:rPr>
          <w:rFonts w:hint="default" w:ascii="宋体" w:hAnsi="宋体" w:eastAsia="宋体" w:cs="宋体"/>
          <w:b/>
          <w:sz w:val="22"/>
          <w:szCs w:val="22"/>
          <w:lang w:eastAsia="zh-CN"/>
        </w:rPr>
      </w:pPr>
      <w:r>
        <w:rPr>
          <w:rFonts w:ascii="宋体" w:hAnsi="宋体" w:eastAsia="宋体" w:cs="宋体"/>
          <w:b/>
          <w:sz w:val="22"/>
          <w:szCs w:val="22"/>
          <w:lang w:eastAsia="zh-CN"/>
        </w:rPr>
        <w:t>（一）服务内容</w:t>
      </w:r>
    </w:p>
    <w:p w14:paraId="50B9B285">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合作方需配置不低于10人以上的专业服务团队，其中包含至少1名项目主管。在合作期内，合作方需以人工管理、智能系统运维管理、考核评价管理、督导与整改等综合管理方式，对在岗专业团队进行科学有效的管理，确保场馆参观接待、社教活动安全开展有序且高效运行。</w:t>
      </w:r>
    </w:p>
    <w:p w14:paraId="6EC11DC3">
      <w:pPr>
        <w:pStyle w:val="15"/>
        <w:spacing w:line="400" w:lineRule="exact"/>
        <w:jc w:val="both"/>
        <w:rPr>
          <w:rFonts w:hint="default" w:ascii="宋体" w:hAnsi="宋体" w:eastAsia="宋体" w:cs="宋体"/>
          <w:b/>
          <w:sz w:val="22"/>
          <w:szCs w:val="22"/>
          <w:lang w:eastAsia="zh-CN"/>
        </w:rPr>
      </w:pPr>
      <w:r>
        <w:rPr>
          <w:rFonts w:ascii="宋体" w:hAnsi="宋体" w:eastAsia="宋体" w:cs="宋体"/>
          <w:b/>
          <w:sz w:val="22"/>
          <w:szCs w:val="22"/>
          <w:lang w:eastAsia="zh-CN"/>
        </w:rPr>
        <w:t>（二）服务要求：</w:t>
      </w:r>
    </w:p>
    <w:p w14:paraId="0BF63A4A">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1.人员配置</w:t>
      </w:r>
    </w:p>
    <w:p w14:paraId="4D24B083">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（1）在岗人员年龄需在32周岁以下（优秀者可放宽），女性身高1.62米以上、男性1.75米以上（优秀者可放宽）。</w:t>
      </w:r>
    </w:p>
    <w:p w14:paraId="7DCA5A41">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（2）在岗人员需具备本科及以上学历，博物馆学、文史类、教育学、播音主持、外语等相关专业，普通话水平二级甲等及以上，外语专业人员需具备流利的听说读写能力。具备相关讲解、教育工作经验者优先。</w:t>
      </w:r>
    </w:p>
    <w:p w14:paraId="542D2B26">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2.管理服务</w:t>
      </w:r>
    </w:p>
    <w:p w14:paraId="33744256">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（1）人工管理</w:t>
      </w:r>
    </w:p>
    <w:p w14:paraId="750C5B52">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①根据博物馆客流时段、展厅开放安排、社教活动排期，统一统筹安排讲解、社教工作人员班次，灵活调配人手应对节假日、团体、临时专场等人流高峰，满足各展厅、活动场地服务需求。</w:t>
      </w:r>
    </w:p>
    <w:p w14:paraId="29880721">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②在岗纪律监管、临时调班/请假流程管理，实时协调人员顶岗补位，保证在岗服务人员人数场馆公共服务需求。</w:t>
      </w:r>
    </w:p>
    <w:p w14:paraId="71DABDE0">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③统一收集、归档合作方工作人员身份证、从业资质、履历、服务履历等基础资料，建立完整人员信息台账，动态更新人员变动信息，方便馆方随时核查。</w:t>
      </w:r>
    </w:p>
    <w:p w14:paraId="20662027">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（2）考核评价管理</w:t>
      </w:r>
    </w:p>
    <w:p w14:paraId="61CD2CD6">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①合作方管理人员不定时展厅巡检、活动现场抽查，核查在岗状态、服务礼仪、讲解规范、活动执行情况，实时记录问题并现场督促整改。</w:t>
      </w:r>
    </w:p>
    <w:p w14:paraId="2782D8C5">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②收集观众现场反馈、线上评价、留言投诉，结合讲解完整度、语言表达、互动效果、活动课堂秩序开展月度质量评分，观众满意度均需达到90%以上。</w:t>
      </w:r>
    </w:p>
    <w:p w14:paraId="522A15A4">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③整合全年考勤、培训参与记录、月度质量评分、观众口碑、应急处置表现形成年度综合考核结果，区分等级并同步馆方，作为人员续用、调整依据。</w:t>
      </w:r>
    </w:p>
    <w:p w14:paraId="5BF859DC">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（3）督导与整改</w:t>
      </w:r>
    </w:p>
    <w:p w14:paraId="0922BC5A">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①定期巡查各展厅讲解服务、各类社教活动开展全过程，监督合作人员服务标准、安全操作、物料使用规范。</w:t>
      </w:r>
    </w:p>
    <w:p w14:paraId="479E52B1">
      <w:pPr>
        <w:pStyle w:val="15"/>
        <w:spacing w:line="400" w:lineRule="exact"/>
        <w:ind w:firstLine="440" w:firstLineChars="200"/>
        <w:jc w:val="both"/>
        <w:rPr>
          <w:rFonts w:hint="default" w:ascii="宋体" w:hAnsi="宋体" w:eastAsia="宋体" w:cs="宋体"/>
          <w:sz w:val="22"/>
          <w:szCs w:val="22"/>
          <w:lang w:eastAsia="zh-CN"/>
        </w:rPr>
      </w:pPr>
      <w:r>
        <w:rPr>
          <w:rFonts w:ascii="宋体" w:hAnsi="宋体" w:eastAsia="宋体" w:cs="宋体"/>
          <w:sz w:val="22"/>
          <w:szCs w:val="22"/>
          <w:lang w:eastAsia="zh-CN"/>
        </w:rPr>
        <w:t>②针对巡检、考核、观众投诉发现的服务短板，形成整改清单，督促合作人员限期优化，复查整改成效，形成完整督导整改记录。</w:t>
      </w:r>
    </w:p>
    <w:p w14:paraId="79F86833">
      <w:pPr>
        <w:pStyle w:val="15"/>
        <w:spacing w:line="400" w:lineRule="exact"/>
        <w:ind w:firstLine="440" w:firstLineChars="200"/>
        <w:jc w:val="both"/>
        <w:rPr>
          <w:rFonts w:ascii="宋体" w:hAnsi="宋体" w:eastAsia="宋体" w:cs="宋体"/>
          <w:sz w:val="22"/>
          <w:szCs w:val="22"/>
          <w:lang w:eastAsia="zh-CN"/>
        </w:rPr>
      </w:pPr>
      <w:r>
        <w:rPr>
          <w:rFonts w:ascii="宋体" w:hAnsi="宋体" w:eastAsia="宋体" w:cs="宋体"/>
          <w:sz w:val="22"/>
          <w:szCs w:val="22"/>
          <w:lang w:eastAsia="zh-CN"/>
        </w:rPr>
        <w:t>③遇到客流暴增、观众纠纷、活动突发状况时，统筹调配工作人员配合馆方开展现场疏导、安抚、应急处理工作。</w:t>
      </w:r>
    </w:p>
    <w:p w14:paraId="22C6798D">
      <w:pPr>
        <w:pStyle w:val="15"/>
        <w:spacing w:line="400" w:lineRule="exact"/>
        <w:jc w:val="both"/>
        <w:rPr>
          <w:rFonts w:hint="default" w:ascii="宋体" w:hAnsi="宋体" w:eastAsia="宋体" w:cs="宋体"/>
          <w:b/>
          <w:sz w:val="22"/>
          <w:szCs w:val="22"/>
          <w:lang w:eastAsia="zh-CN"/>
        </w:rPr>
      </w:pPr>
      <w:r>
        <w:rPr>
          <w:rFonts w:hint="eastAsia" w:ascii="宋体" w:hAnsi="宋体" w:eastAsia="宋体" w:cs="宋体"/>
          <w:b/>
          <w:sz w:val="22"/>
          <w:szCs w:val="22"/>
          <w:lang w:val="en-US" w:eastAsia="zh-CN"/>
        </w:rPr>
        <w:t>三</w:t>
      </w:r>
      <w:r>
        <w:rPr>
          <w:rFonts w:ascii="宋体" w:hAnsi="宋体" w:eastAsia="宋体" w:cs="宋体"/>
          <w:b/>
          <w:sz w:val="22"/>
          <w:szCs w:val="22"/>
          <w:lang w:eastAsia="zh-CN"/>
        </w:rPr>
        <w:t>、</w:t>
      </w:r>
      <w:r>
        <w:rPr>
          <w:rFonts w:hint="eastAsia" w:ascii="宋体" w:hAnsi="宋体" w:eastAsia="宋体" w:cs="宋体"/>
          <w:b/>
          <w:sz w:val="22"/>
          <w:szCs w:val="22"/>
          <w:lang w:eastAsia="zh-CN"/>
        </w:rPr>
        <w:t>东莞市博物馆公共服务质量评分表</w:t>
      </w:r>
    </w:p>
    <w:p w14:paraId="6EE776CB">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w:t>
      </w:r>
      <w:r>
        <w:rPr>
          <w:rFonts w:hint="eastAsia" w:ascii="宋体" w:hAnsi="宋体" w:eastAsia="宋体" w:cs="宋体"/>
          <w:sz w:val="22"/>
          <w:szCs w:val="22"/>
          <w:lang w:val="en-US" w:eastAsia="zh-CN"/>
        </w:rPr>
        <w:t>东莞市</w:t>
      </w:r>
      <w:bookmarkStart w:id="0" w:name="OLE_LINK1"/>
      <w:r>
        <w:rPr>
          <w:rFonts w:hint="eastAsia" w:ascii="宋体" w:hAnsi="宋体" w:eastAsia="宋体" w:cs="宋体"/>
          <w:sz w:val="22"/>
          <w:szCs w:val="22"/>
          <w:lang w:val="en-US" w:eastAsia="zh-CN"/>
        </w:rPr>
        <w:t>博物馆公共</w:t>
      </w:r>
      <w:r>
        <w:rPr>
          <w:rFonts w:hint="eastAsia" w:ascii="宋体" w:hAnsi="宋体" w:eastAsia="宋体" w:cs="宋体"/>
          <w:sz w:val="22"/>
          <w:szCs w:val="22"/>
        </w:rPr>
        <w:t>服务质量评分表</w:t>
      </w:r>
      <w:bookmarkEnd w:id="0"/>
      <w:r>
        <w:rPr>
          <w:rFonts w:hint="eastAsia" w:ascii="宋体" w:hAnsi="宋体" w:eastAsia="宋体" w:cs="宋体"/>
          <w:sz w:val="22"/>
          <w:szCs w:val="22"/>
        </w:rPr>
        <w:t>》</w:t>
      </w:r>
    </w:p>
    <w:p w14:paraId="3CEE4ABA">
      <w:pPr>
        <w:pStyle w:val="15"/>
        <w:keepNext w:val="0"/>
        <w:keepLines w:val="0"/>
        <w:pageBreakBefore w:val="0"/>
        <w:kinsoku/>
        <w:wordWrap/>
        <w:overflowPunct/>
        <w:topLinePunct w:val="0"/>
        <w:autoSpaceDE/>
        <w:autoSpaceDN/>
        <w:bidi w:val="0"/>
        <w:adjustRightInd/>
        <w:snapToGrid/>
        <w:spacing w:line="400" w:lineRule="exact"/>
        <w:jc w:val="right"/>
        <w:textAlignment w:val="auto"/>
        <w:rPr>
          <w:rFonts w:hint="eastAsia" w:ascii="宋体" w:hAnsi="宋体" w:eastAsia="宋体" w:cs="宋体"/>
          <w:sz w:val="22"/>
          <w:szCs w:val="22"/>
        </w:rPr>
      </w:pPr>
      <w:r>
        <w:rPr>
          <w:rFonts w:hint="eastAsia" w:ascii="宋体" w:hAnsi="宋体" w:eastAsia="宋体" w:cs="宋体"/>
          <w:sz w:val="22"/>
          <w:szCs w:val="22"/>
        </w:rPr>
        <w:t>______年____月____日至________年____月____日</w:t>
      </w:r>
    </w:p>
    <w:tbl>
      <w:tblPr>
        <w:tblStyle w:val="11"/>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801"/>
        <w:gridCol w:w="1343"/>
        <w:gridCol w:w="586"/>
        <w:gridCol w:w="4874"/>
        <w:gridCol w:w="456"/>
        <w:gridCol w:w="456"/>
      </w:tblGrid>
      <w:tr w14:paraId="39A5E36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single" w:color="000000" w:sz="4" w:space="0"/>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0792F3BE">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b/>
                <w:sz w:val="22"/>
                <w:szCs w:val="22"/>
              </w:rPr>
              <w:t>类别</w:t>
            </w:r>
          </w:p>
        </w:tc>
        <w:tc>
          <w:tcPr>
            <w:tcW w:w="1343" w:type="dxa"/>
            <w:tcBorders>
              <w:top w:val="single" w:color="000000" w:sz="4" w:space="0"/>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65B39C7B">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b/>
                <w:sz w:val="22"/>
                <w:szCs w:val="22"/>
              </w:rPr>
              <w:t>标准内容</w:t>
            </w:r>
          </w:p>
        </w:tc>
        <w:tc>
          <w:tcPr>
            <w:tcW w:w="586" w:type="dxa"/>
            <w:tcBorders>
              <w:top w:val="single" w:color="000000" w:sz="4" w:space="0"/>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5C96A6DE">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b/>
                <w:sz w:val="22"/>
                <w:szCs w:val="22"/>
              </w:rPr>
              <w:t>标准</w:t>
            </w:r>
          </w:p>
          <w:p w14:paraId="72A24BB0">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b/>
                <w:sz w:val="22"/>
                <w:szCs w:val="22"/>
              </w:rPr>
              <w:t>分值</w:t>
            </w:r>
          </w:p>
        </w:tc>
        <w:tc>
          <w:tcPr>
            <w:tcW w:w="4874" w:type="dxa"/>
            <w:tcBorders>
              <w:top w:val="single" w:color="000000" w:sz="4" w:space="0"/>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7663188A">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b/>
                <w:sz w:val="22"/>
                <w:szCs w:val="22"/>
              </w:rPr>
              <w:t>评分细则</w:t>
            </w:r>
          </w:p>
        </w:tc>
        <w:tc>
          <w:tcPr>
            <w:tcW w:w="0" w:type="auto"/>
            <w:tcBorders>
              <w:top w:val="single" w:color="000000" w:sz="4" w:space="0"/>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00F04F38">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b/>
                <w:sz w:val="22"/>
                <w:szCs w:val="22"/>
              </w:rPr>
              <w:t>评估</w:t>
            </w:r>
          </w:p>
          <w:p w14:paraId="2FF3BE97">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b/>
                <w:sz w:val="22"/>
                <w:szCs w:val="22"/>
              </w:rPr>
              <w:t>得分</w:t>
            </w:r>
          </w:p>
        </w:tc>
        <w:tc>
          <w:tcPr>
            <w:tcW w:w="0" w:type="auto"/>
            <w:tcBorders>
              <w:top w:val="single" w:color="000000" w:sz="4" w:space="0"/>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07AED3A6">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b/>
                <w:sz w:val="22"/>
                <w:szCs w:val="22"/>
              </w:rPr>
              <w:t>备注</w:t>
            </w:r>
          </w:p>
        </w:tc>
      </w:tr>
      <w:tr w14:paraId="18811E2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0A710452">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总体</w:t>
            </w:r>
          </w:p>
        </w:tc>
        <w:tc>
          <w:tcPr>
            <w:tcW w:w="1343"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2044725F">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工作人员着装统一，仪容仪表大方得体；服从工作安排；服务态度好，礼貌待人；讲解设备</w:t>
            </w:r>
            <w:r>
              <w:rPr>
                <w:rFonts w:hint="eastAsia" w:ascii="宋体" w:hAnsi="宋体" w:eastAsia="宋体" w:cs="宋体"/>
                <w:sz w:val="22"/>
                <w:szCs w:val="22"/>
                <w:lang w:eastAsia="zh-CN"/>
              </w:rPr>
              <w:t>、导览设备</w:t>
            </w:r>
            <w:r>
              <w:rPr>
                <w:rFonts w:hint="eastAsia" w:ascii="宋体" w:hAnsi="宋体" w:eastAsia="宋体" w:cs="宋体"/>
                <w:sz w:val="22"/>
                <w:szCs w:val="22"/>
              </w:rPr>
              <w:t>等保管良好。</w:t>
            </w:r>
          </w:p>
        </w:tc>
        <w:tc>
          <w:tcPr>
            <w:tcW w:w="586"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17153886">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10</w:t>
            </w:r>
          </w:p>
        </w:tc>
        <w:tc>
          <w:tcPr>
            <w:tcW w:w="4874"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21B22760">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1．衣不称身、衣服有破损、陈旧或有明显污渍的每人每次扣1分。</w:t>
            </w:r>
          </w:p>
          <w:p w14:paraId="0914781C">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2．仪容仪表不符合要求每人每次扣 1分。</w:t>
            </w:r>
          </w:p>
          <w:p w14:paraId="73BF39E5">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3．不服从工作安排或未按要求认真履行岗位要求的，每人每次扣5分。</w:t>
            </w:r>
          </w:p>
          <w:p w14:paraId="389EF972">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4．服务态度不佳，未能耐心解答观众问题，出现不耐烦、态度恶劣的，每次扣2分。</w:t>
            </w:r>
          </w:p>
          <w:p w14:paraId="33F62347">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5．未事前检查导致讲解设备在讲解过程中出现故障的，每次扣2分。</w:t>
            </w:r>
          </w:p>
          <w:p w14:paraId="272B06FC">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6．每周没有定期对讲解设备</w:t>
            </w:r>
            <w:r>
              <w:rPr>
                <w:rFonts w:hint="eastAsia" w:ascii="宋体" w:hAnsi="宋体" w:eastAsia="宋体" w:cs="宋体"/>
                <w:sz w:val="22"/>
                <w:szCs w:val="22"/>
                <w:lang w:eastAsia="zh-CN"/>
              </w:rPr>
              <w:t>、导览设备</w:t>
            </w:r>
            <w:r>
              <w:rPr>
                <w:rFonts w:hint="eastAsia" w:ascii="宋体" w:hAnsi="宋体" w:eastAsia="宋体" w:cs="宋体"/>
                <w:sz w:val="22"/>
                <w:szCs w:val="22"/>
              </w:rPr>
              <w:t>等进行清点管理、维护、记录等，每次扣1分。发现问题没有及时上报，每次扣1分。</w:t>
            </w:r>
          </w:p>
        </w:tc>
        <w:tc>
          <w:tcPr>
            <w:tcW w:w="0" w:type="auto"/>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5A33FAF4">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0" w:type="auto"/>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3B0AEFA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r>
      <w:tr w14:paraId="178049F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5F87BF46">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公益</w:t>
            </w:r>
            <w:r>
              <w:rPr>
                <w:rFonts w:hint="eastAsia" w:ascii="宋体" w:hAnsi="宋体" w:eastAsia="宋体" w:cs="宋体"/>
                <w:sz w:val="22"/>
                <w:szCs w:val="22"/>
              </w:rPr>
              <w:t>讲解接待服务</w:t>
            </w:r>
          </w:p>
        </w:tc>
        <w:tc>
          <w:tcPr>
            <w:tcW w:w="1343"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42F5BED8">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按要求开展日常</w:t>
            </w:r>
            <w:r>
              <w:rPr>
                <w:rFonts w:hint="eastAsia" w:ascii="宋体" w:hAnsi="宋体" w:eastAsia="宋体" w:cs="宋体"/>
                <w:sz w:val="22"/>
                <w:szCs w:val="22"/>
                <w:lang w:val="en-US" w:eastAsia="zh-CN"/>
              </w:rPr>
              <w:t>定点讲解</w:t>
            </w:r>
            <w:r>
              <w:rPr>
                <w:rFonts w:hint="eastAsia" w:ascii="宋体" w:hAnsi="宋体" w:eastAsia="宋体" w:cs="宋体"/>
                <w:sz w:val="22"/>
                <w:szCs w:val="22"/>
              </w:rPr>
              <w:t>工作以及</w:t>
            </w:r>
            <w:r>
              <w:rPr>
                <w:rFonts w:hint="eastAsia" w:ascii="宋体" w:hAnsi="宋体" w:eastAsia="宋体" w:cs="宋体"/>
                <w:sz w:val="22"/>
                <w:szCs w:val="22"/>
                <w:lang w:val="en-US" w:eastAsia="zh-CN"/>
              </w:rPr>
              <w:t>团体</w:t>
            </w:r>
            <w:r>
              <w:rPr>
                <w:rFonts w:hint="eastAsia" w:ascii="宋体" w:hAnsi="宋体" w:eastAsia="宋体" w:cs="宋体"/>
                <w:sz w:val="22"/>
                <w:szCs w:val="22"/>
              </w:rPr>
              <w:t>讲解接待工作</w:t>
            </w:r>
          </w:p>
          <w:p w14:paraId="11D3EA43">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586"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6FDA0AAD">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30</w:t>
            </w:r>
          </w:p>
        </w:tc>
        <w:tc>
          <w:tcPr>
            <w:tcW w:w="4874"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2739FCCF">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1.未按讲解排班到岗的或不服从讲解任务安排的，每次扣5分。</w:t>
            </w:r>
          </w:p>
          <w:p w14:paraId="55D14363">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2.未按要求提前准备好讲解设备、导览设备等，每次扣2分。</w:t>
            </w:r>
          </w:p>
          <w:p w14:paraId="78E686DC">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3.在</w:t>
            </w:r>
            <w:r>
              <w:rPr>
                <w:rFonts w:hint="eastAsia" w:ascii="宋体" w:hAnsi="宋体" w:eastAsia="宋体" w:cs="宋体"/>
                <w:sz w:val="22"/>
                <w:szCs w:val="22"/>
                <w:lang w:val="en-US" w:eastAsia="zh-CN"/>
              </w:rPr>
              <w:t>定点</w:t>
            </w:r>
            <w:r>
              <w:rPr>
                <w:rFonts w:hint="eastAsia" w:ascii="宋体" w:hAnsi="宋体" w:eastAsia="宋体" w:cs="宋体"/>
                <w:sz w:val="22"/>
                <w:szCs w:val="22"/>
              </w:rPr>
              <w:t>讲解时段或</w:t>
            </w:r>
            <w:r>
              <w:rPr>
                <w:rFonts w:hint="eastAsia" w:ascii="宋体" w:hAnsi="宋体" w:eastAsia="宋体" w:cs="宋体"/>
                <w:sz w:val="22"/>
                <w:szCs w:val="22"/>
                <w:lang w:val="en-US" w:eastAsia="zh-CN"/>
              </w:rPr>
              <w:t>团体讲解接待</w:t>
            </w:r>
            <w:r>
              <w:rPr>
                <w:rFonts w:hint="eastAsia" w:ascii="宋体" w:hAnsi="宋体" w:eastAsia="宋体" w:cs="宋体"/>
                <w:sz w:val="22"/>
                <w:szCs w:val="22"/>
              </w:rPr>
              <w:t>，没有提前5分钟到达相应</w:t>
            </w:r>
            <w:r>
              <w:rPr>
                <w:rFonts w:hint="eastAsia" w:ascii="宋体" w:hAnsi="宋体" w:eastAsia="宋体" w:cs="宋体"/>
                <w:sz w:val="22"/>
                <w:szCs w:val="22"/>
                <w:lang w:eastAsia="zh-CN"/>
              </w:rPr>
              <w:t>地点（展厅、大厅等）</w:t>
            </w:r>
            <w:r>
              <w:rPr>
                <w:rFonts w:hint="eastAsia" w:ascii="宋体" w:hAnsi="宋体" w:eastAsia="宋体" w:cs="宋体"/>
                <w:sz w:val="22"/>
                <w:szCs w:val="22"/>
              </w:rPr>
              <w:t>准备的，每次扣2分。超过</w:t>
            </w:r>
            <w:r>
              <w:rPr>
                <w:rFonts w:hint="eastAsia" w:ascii="宋体" w:hAnsi="宋体" w:eastAsia="宋体" w:cs="宋体"/>
                <w:sz w:val="22"/>
                <w:szCs w:val="22"/>
                <w:lang w:val="en-US" w:eastAsia="zh-CN"/>
              </w:rPr>
              <w:t>定点</w:t>
            </w:r>
            <w:r>
              <w:rPr>
                <w:rFonts w:hint="eastAsia" w:ascii="宋体" w:hAnsi="宋体" w:eastAsia="宋体" w:cs="宋体"/>
                <w:sz w:val="22"/>
                <w:szCs w:val="22"/>
              </w:rPr>
              <w:t>讲解时段还不到岗的，每次扣3分。4.</w:t>
            </w:r>
            <w:r>
              <w:rPr>
                <w:rFonts w:hint="eastAsia" w:ascii="宋体" w:hAnsi="宋体" w:eastAsia="宋体" w:cs="宋体"/>
                <w:sz w:val="22"/>
                <w:szCs w:val="22"/>
                <w:lang w:val="en-US" w:eastAsia="zh-CN"/>
              </w:rPr>
              <w:t>全员</w:t>
            </w:r>
            <w:r>
              <w:rPr>
                <w:rFonts w:hint="eastAsia" w:ascii="宋体" w:hAnsi="宋体" w:eastAsia="宋体" w:cs="宋体"/>
                <w:sz w:val="22"/>
                <w:szCs w:val="22"/>
              </w:rPr>
              <w:t>在非节假日期间每天开展讲解任务不少于</w:t>
            </w:r>
            <w:r>
              <w:rPr>
                <w:rFonts w:hint="eastAsia" w:ascii="宋体" w:hAnsi="宋体" w:eastAsia="宋体" w:cs="宋体"/>
                <w:sz w:val="22"/>
                <w:szCs w:val="22"/>
                <w:lang w:val="en-US" w:eastAsia="zh-CN"/>
              </w:rPr>
              <w:t>4</w:t>
            </w:r>
            <w:r>
              <w:rPr>
                <w:rFonts w:hint="eastAsia" w:ascii="宋体" w:hAnsi="宋体" w:eastAsia="宋体" w:cs="宋体"/>
                <w:sz w:val="22"/>
                <w:szCs w:val="22"/>
              </w:rPr>
              <w:t>场次（含</w:t>
            </w:r>
            <w:r>
              <w:rPr>
                <w:rFonts w:hint="eastAsia" w:ascii="宋体" w:hAnsi="宋体" w:eastAsia="宋体" w:cs="宋体"/>
                <w:sz w:val="22"/>
                <w:szCs w:val="22"/>
                <w:lang w:val="en-US" w:eastAsia="zh-CN"/>
              </w:rPr>
              <w:t>定点讲解、</w:t>
            </w:r>
            <w:r>
              <w:rPr>
                <w:rFonts w:hint="eastAsia" w:ascii="宋体" w:hAnsi="宋体" w:eastAsia="宋体" w:cs="宋体"/>
                <w:sz w:val="22"/>
                <w:szCs w:val="22"/>
              </w:rPr>
              <w:t>工作安排和练习讲解，特殊情况除外），场次不足或马虎、应付式讲解的，每次扣2分。</w:t>
            </w:r>
          </w:p>
          <w:p w14:paraId="7F772364">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5.讲解或导览出现较大失误，造成不良影响或被观众投诉的，每次扣5分。</w:t>
            </w:r>
          </w:p>
          <w:p w14:paraId="63766405">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6.发现观众出现跨越隔离带、防护栏，触摸展品，追逐奔跑，大声喧哗，进食，吸烟等不文明行为而没有提醒、阻止的，每次扣2分。</w:t>
            </w:r>
          </w:p>
          <w:p w14:paraId="593F82A8">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7.因自身或因未及时提醒</w:t>
            </w:r>
            <w:r>
              <w:rPr>
                <w:rFonts w:hint="eastAsia" w:ascii="宋体" w:hAnsi="宋体" w:eastAsia="宋体" w:cs="宋体"/>
                <w:sz w:val="22"/>
                <w:szCs w:val="22"/>
                <w:lang w:eastAsia="zh-CN"/>
              </w:rPr>
              <w:t>（</w:t>
            </w:r>
            <w:r>
              <w:rPr>
                <w:rFonts w:hint="eastAsia" w:ascii="宋体" w:hAnsi="宋体" w:eastAsia="宋体" w:cs="宋体"/>
                <w:sz w:val="22"/>
                <w:szCs w:val="22"/>
              </w:rPr>
              <w:t>或阻止</w:t>
            </w:r>
            <w:r>
              <w:rPr>
                <w:rFonts w:hint="eastAsia" w:ascii="宋体" w:hAnsi="宋体" w:eastAsia="宋体" w:cs="宋体"/>
                <w:sz w:val="22"/>
                <w:szCs w:val="22"/>
                <w:lang w:eastAsia="zh-CN"/>
              </w:rPr>
              <w:t>）观众</w:t>
            </w:r>
            <w:r>
              <w:rPr>
                <w:rFonts w:hint="eastAsia" w:ascii="宋体" w:hAnsi="宋体" w:eastAsia="宋体" w:cs="宋体"/>
                <w:sz w:val="22"/>
                <w:szCs w:val="22"/>
              </w:rPr>
              <w:t>不当行为，造成展品损坏等严重情况的，每次扣5分。</w:t>
            </w:r>
          </w:p>
          <w:p w14:paraId="002F2B7F">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8.每</w:t>
            </w:r>
            <w:r>
              <w:rPr>
                <w:rFonts w:hint="eastAsia" w:ascii="宋体" w:hAnsi="宋体" w:eastAsia="宋体" w:cs="宋体"/>
                <w:sz w:val="22"/>
                <w:szCs w:val="22"/>
                <w:lang w:eastAsia="zh-CN"/>
              </w:rPr>
              <w:t>两周</w:t>
            </w:r>
            <w:r>
              <w:rPr>
                <w:rFonts w:hint="eastAsia" w:ascii="宋体" w:hAnsi="宋体" w:eastAsia="宋体" w:cs="宋体"/>
                <w:sz w:val="22"/>
                <w:szCs w:val="22"/>
              </w:rPr>
              <w:t>没有及时报送讲解接待记录的，每次扣2分。</w:t>
            </w:r>
          </w:p>
          <w:p w14:paraId="13CA9975">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9.</w:t>
            </w:r>
            <w:r>
              <w:rPr>
                <w:rFonts w:hint="eastAsia" w:ascii="宋体" w:hAnsi="宋体" w:eastAsia="宋体" w:cs="宋体"/>
                <w:sz w:val="22"/>
                <w:szCs w:val="22"/>
                <w:lang w:val="en-US" w:eastAsia="zh-CN"/>
              </w:rPr>
              <w:t>专题展调整</w:t>
            </w:r>
            <w:r>
              <w:rPr>
                <w:rFonts w:hint="eastAsia" w:ascii="宋体" w:hAnsi="宋体" w:eastAsia="宋体" w:cs="宋体"/>
                <w:sz w:val="22"/>
                <w:szCs w:val="22"/>
              </w:rPr>
              <w:t>期间，没有按要求</w:t>
            </w:r>
            <w:r>
              <w:rPr>
                <w:rFonts w:hint="eastAsia" w:ascii="宋体" w:hAnsi="宋体" w:eastAsia="宋体" w:cs="宋体"/>
                <w:sz w:val="22"/>
                <w:szCs w:val="22"/>
                <w:lang w:val="en-US" w:eastAsia="zh-CN"/>
              </w:rPr>
              <w:t>调整定点讲解的</w:t>
            </w:r>
            <w:r>
              <w:rPr>
                <w:rFonts w:hint="eastAsia" w:ascii="宋体" w:hAnsi="宋体" w:eastAsia="宋体" w:cs="宋体"/>
                <w:sz w:val="22"/>
                <w:szCs w:val="22"/>
              </w:rPr>
              <w:t>，每次扣2分。马虎、应付式讲解的，每次扣2分。</w:t>
            </w:r>
          </w:p>
        </w:tc>
        <w:tc>
          <w:tcPr>
            <w:tcW w:w="0" w:type="auto"/>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68D00DA9">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0" w:type="auto"/>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4013698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r>
      <w:tr w14:paraId="3C8A7E5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7A9F77DB">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公益教育活动</w:t>
            </w:r>
            <w:r>
              <w:rPr>
                <w:rFonts w:hint="eastAsia" w:ascii="宋体" w:hAnsi="宋体" w:eastAsia="宋体" w:cs="宋体"/>
                <w:sz w:val="22"/>
                <w:szCs w:val="22"/>
              </w:rPr>
              <w:t>服务</w:t>
            </w:r>
          </w:p>
        </w:tc>
        <w:tc>
          <w:tcPr>
            <w:tcW w:w="1343"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544E1449">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开展或参与</w:t>
            </w:r>
            <w:r>
              <w:rPr>
                <w:rFonts w:hint="eastAsia" w:ascii="宋体" w:hAnsi="宋体" w:eastAsia="宋体" w:cs="宋体"/>
                <w:sz w:val="22"/>
                <w:szCs w:val="22"/>
                <w:lang w:eastAsia="zh-CN"/>
              </w:rPr>
              <w:t>馆内外</w:t>
            </w:r>
            <w:r>
              <w:rPr>
                <w:rFonts w:hint="eastAsia" w:ascii="宋体" w:hAnsi="宋体" w:eastAsia="宋体" w:cs="宋体"/>
                <w:sz w:val="22"/>
                <w:szCs w:val="22"/>
                <w:lang w:val="en-US" w:eastAsia="zh-CN"/>
              </w:rPr>
              <w:t>教育</w:t>
            </w:r>
            <w:r>
              <w:rPr>
                <w:rFonts w:hint="eastAsia" w:ascii="宋体" w:hAnsi="宋体" w:eastAsia="宋体" w:cs="宋体"/>
                <w:sz w:val="22"/>
                <w:szCs w:val="22"/>
              </w:rPr>
              <w:t>活动、</w:t>
            </w:r>
            <w:r>
              <w:rPr>
                <w:rFonts w:hint="eastAsia" w:ascii="宋体" w:hAnsi="宋体" w:eastAsia="宋体" w:cs="宋体"/>
                <w:sz w:val="22"/>
                <w:szCs w:val="22"/>
                <w:lang w:eastAsia="zh-CN"/>
              </w:rPr>
              <w:t>延时开放</w:t>
            </w:r>
            <w:r>
              <w:rPr>
                <w:rFonts w:hint="eastAsia" w:ascii="宋体" w:hAnsi="宋体" w:eastAsia="宋体" w:cs="宋体"/>
                <w:sz w:val="22"/>
                <w:szCs w:val="22"/>
              </w:rPr>
              <w:t>等工作，对博物馆分配的相关工作按时、按质、按量完成。</w:t>
            </w:r>
          </w:p>
        </w:tc>
        <w:tc>
          <w:tcPr>
            <w:tcW w:w="586"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51365A74">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lang w:eastAsia="zh-CN"/>
              </w:rPr>
            </w:pPr>
            <w:r>
              <w:rPr>
                <w:rFonts w:hint="eastAsia" w:ascii="宋体" w:hAnsi="宋体" w:eastAsia="宋体" w:cs="宋体"/>
                <w:sz w:val="22"/>
                <w:szCs w:val="22"/>
              </w:rPr>
              <w:t>2</w:t>
            </w:r>
            <w:r>
              <w:rPr>
                <w:rFonts w:hint="eastAsia" w:ascii="宋体" w:hAnsi="宋体" w:eastAsia="宋体" w:cs="宋体"/>
                <w:sz w:val="22"/>
                <w:szCs w:val="22"/>
                <w:lang w:val="en-US" w:eastAsia="zh-CN"/>
              </w:rPr>
              <w:t>8</w:t>
            </w:r>
          </w:p>
        </w:tc>
        <w:tc>
          <w:tcPr>
            <w:tcW w:w="4874"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1652B5E5">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rPr>
              <w:t>1.未</w:t>
            </w:r>
            <w:r>
              <w:rPr>
                <w:rFonts w:hint="eastAsia" w:ascii="宋体" w:hAnsi="宋体" w:eastAsia="宋体" w:cs="宋体"/>
                <w:sz w:val="22"/>
                <w:szCs w:val="22"/>
                <w:lang w:eastAsia="zh-CN"/>
              </w:rPr>
              <w:t>提交月度分众教育活动计划表，</w:t>
            </w:r>
            <w:r>
              <w:rPr>
                <w:rFonts w:hint="eastAsia" w:ascii="宋体" w:hAnsi="宋体" w:eastAsia="宋体" w:cs="宋体"/>
                <w:sz w:val="22"/>
                <w:szCs w:val="22"/>
              </w:rPr>
              <w:t>每次扣</w:t>
            </w:r>
            <w:r>
              <w:rPr>
                <w:rFonts w:hint="eastAsia" w:ascii="宋体" w:hAnsi="宋体" w:eastAsia="宋体" w:cs="宋体"/>
                <w:sz w:val="22"/>
                <w:szCs w:val="22"/>
                <w:lang w:val="en-US" w:eastAsia="zh-CN"/>
              </w:rPr>
              <w:t>5</w:t>
            </w:r>
            <w:r>
              <w:rPr>
                <w:rFonts w:hint="eastAsia" w:ascii="宋体" w:hAnsi="宋体" w:eastAsia="宋体" w:cs="宋体"/>
                <w:sz w:val="22"/>
                <w:szCs w:val="22"/>
              </w:rPr>
              <w:t>分。</w:t>
            </w:r>
            <w:r>
              <w:rPr>
                <w:rFonts w:hint="eastAsia" w:ascii="宋体" w:hAnsi="宋体" w:eastAsia="宋体" w:cs="宋体"/>
                <w:sz w:val="22"/>
                <w:szCs w:val="22"/>
                <w:lang w:eastAsia="zh-CN"/>
              </w:rPr>
              <w:t>延期提交每次扣</w:t>
            </w:r>
            <w:r>
              <w:rPr>
                <w:rFonts w:hint="eastAsia" w:ascii="宋体" w:hAnsi="宋体" w:eastAsia="宋体" w:cs="宋体"/>
                <w:sz w:val="22"/>
                <w:szCs w:val="22"/>
                <w:lang w:val="en-US" w:eastAsia="zh-CN"/>
              </w:rPr>
              <w:t>2分。</w:t>
            </w:r>
          </w:p>
          <w:p w14:paraId="5E927CA4">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2.未按</w:t>
            </w:r>
            <w:r>
              <w:rPr>
                <w:rFonts w:hint="eastAsia" w:ascii="宋体" w:hAnsi="宋体" w:eastAsia="宋体" w:cs="宋体"/>
                <w:sz w:val="22"/>
                <w:szCs w:val="22"/>
                <w:lang w:eastAsia="zh-CN"/>
              </w:rPr>
              <w:t>馆方通过的计划</w:t>
            </w:r>
            <w:r>
              <w:rPr>
                <w:rFonts w:hint="eastAsia" w:ascii="宋体" w:hAnsi="宋体" w:eastAsia="宋体" w:cs="宋体"/>
                <w:sz w:val="22"/>
                <w:szCs w:val="22"/>
              </w:rPr>
              <w:t>开展</w:t>
            </w:r>
            <w:r>
              <w:rPr>
                <w:rFonts w:hint="eastAsia" w:ascii="宋体" w:hAnsi="宋体" w:eastAsia="宋体" w:cs="宋体"/>
                <w:sz w:val="22"/>
                <w:szCs w:val="22"/>
                <w:lang w:eastAsia="zh-CN"/>
              </w:rPr>
              <w:t>馆内外</w:t>
            </w:r>
            <w:r>
              <w:rPr>
                <w:rFonts w:hint="eastAsia" w:ascii="宋体" w:hAnsi="宋体" w:eastAsia="宋体" w:cs="宋体"/>
                <w:sz w:val="22"/>
                <w:szCs w:val="22"/>
                <w:lang w:val="en-US" w:eastAsia="zh-CN"/>
              </w:rPr>
              <w:t>博物馆教育</w:t>
            </w:r>
            <w:r>
              <w:rPr>
                <w:rFonts w:hint="eastAsia" w:ascii="宋体" w:hAnsi="宋体" w:eastAsia="宋体" w:cs="宋体"/>
                <w:sz w:val="22"/>
                <w:szCs w:val="22"/>
              </w:rPr>
              <w:t>活动的，每次扣5分。因准备工作不足，导致开展活动过程中出现延误、失误，每次扣2分。</w:t>
            </w:r>
          </w:p>
          <w:p w14:paraId="58F1E7B3">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rPr>
              <w:t>3.</w:t>
            </w:r>
            <w:r>
              <w:rPr>
                <w:rFonts w:hint="eastAsia" w:ascii="宋体" w:hAnsi="宋体" w:eastAsia="宋体" w:cs="宋体"/>
                <w:sz w:val="22"/>
                <w:szCs w:val="22"/>
                <w:lang w:eastAsia="zh-CN"/>
              </w:rPr>
              <w:t>未完成研学课室每周开展</w:t>
            </w:r>
            <w:r>
              <w:rPr>
                <w:rFonts w:hint="eastAsia" w:ascii="宋体" w:hAnsi="宋体" w:eastAsia="宋体" w:cs="宋体"/>
                <w:sz w:val="22"/>
                <w:szCs w:val="22"/>
                <w:lang w:val="en-US" w:eastAsia="zh-CN"/>
              </w:rPr>
              <w:t>2场活动的要求，每周扣3分。</w:t>
            </w:r>
          </w:p>
          <w:p w14:paraId="748ED484">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w:t>
            </w:r>
            <w:r>
              <w:rPr>
                <w:rFonts w:hint="eastAsia" w:ascii="宋体" w:hAnsi="宋体" w:eastAsia="宋体" w:cs="宋体"/>
                <w:sz w:val="22"/>
                <w:szCs w:val="22"/>
                <w:lang w:eastAsia="zh-CN"/>
              </w:rPr>
              <w:t>未完成多功能厅每周开展</w:t>
            </w:r>
            <w:r>
              <w:rPr>
                <w:rFonts w:hint="eastAsia" w:ascii="宋体" w:hAnsi="宋体" w:eastAsia="宋体" w:cs="宋体"/>
                <w:sz w:val="22"/>
                <w:szCs w:val="22"/>
                <w:lang w:val="en-US" w:eastAsia="zh-CN"/>
              </w:rPr>
              <w:t>1场活动的要求，每周扣2分。</w:t>
            </w:r>
          </w:p>
          <w:p w14:paraId="200B0F49">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val="0"/>
                <w:sz w:val="22"/>
                <w:szCs w:val="22"/>
                <w:lang w:val="en-US" w:eastAsia="zh-CN"/>
              </w:rPr>
            </w:pPr>
            <w:r>
              <w:rPr>
                <w:rFonts w:hint="eastAsia" w:ascii="宋体" w:hAnsi="宋体" w:eastAsia="宋体" w:cs="宋体"/>
                <w:b w:val="0"/>
                <w:bCs w:val="0"/>
                <w:sz w:val="22"/>
                <w:szCs w:val="22"/>
                <w:lang w:val="en-US" w:eastAsia="zh-CN"/>
              </w:rPr>
              <w:t>5.</w:t>
            </w:r>
            <w:r>
              <w:rPr>
                <w:rFonts w:hint="eastAsia" w:ascii="宋体" w:hAnsi="宋体" w:eastAsia="宋体" w:cs="宋体"/>
                <w:b w:val="0"/>
                <w:bCs w:val="0"/>
                <w:sz w:val="22"/>
                <w:szCs w:val="22"/>
                <w:lang w:eastAsia="zh-CN"/>
              </w:rPr>
              <w:t>未按要求协助开展大型活动、延时开放活动的，每次扣</w:t>
            </w:r>
            <w:r>
              <w:rPr>
                <w:rFonts w:hint="eastAsia" w:ascii="宋体" w:hAnsi="宋体" w:eastAsia="宋体" w:cs="宋体"/>
                <w:b w:val="0"/>
                <w:bCs w:val="0"/>
                <w:sz w:val="22"/>
                <w:szCs w:val="22"/>
                <w:lang w:val="en-US" w:eastAsia="zh-CN"/>
              </w:rPr>
              <w:t>3分。</w:t>
            </w:r>
          </w:p>
          <w:p w14:paraId="7F894E85">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6.</w:t>
            </w:r>
            <w:r>
              <w:rPr>
                <w:rFonts w:hint="eastAsia" w:ascii="宋体" w:hAnsi="宋体" w:eastAsia="宋体" w:cs="宋体"/>
                <w:sz w:val="22"/>
                <w:szCs w:val="22"/>
              </w:rPr>
              <w:t>未能及时按质按量提交各项活动</w:t>
            </w:r>
            <w:r>
              <w:rPr>
                <w:rFonts w:hint="eastAsia" w:ascii="宋体" w:hAnsi="宋体" w:eastAsia="宋体" w:cs="宋体"/>
                <w:sz w:val="22"/>
                <w:szCs w:val="22"/>
                <w:lang w:val="en-US" w:eastAsia="zh-CN"/>
              </w:rPr>
              <w:t>活动照片</w:t>
            </w:r>
            <w:r>
              <w:rPr>
                <w:rFonts w:hint="eastAsia" w:ascii="宋体" w:hAnsi="宋体" w:eastAsia="宋体" w:cs="宋体"/>
                <w:sz w:val="22"/>
                <w:szCs w:val="22"/>
              </w:rPr>
              <w:t>、</w:t>
            </w:r>
            <w:r>
              <w:rPr>
                <w:rFonts w:hint="eastAsia" w:ascii="宋体" w:hAnsi="宋体" w:eastAsia="宋体" w:cs="宋体"/>
                <w:sz w:val="22"/>
                <w:szCs w:val="22"/>
                <w:lang w:val="en-US" w:eastAsia="zh-CN"/>
              </w:rPr>
              <w:t>登记表格等</w:t>
            </w:r>
            <w:r>
              <w:rPr>
                <w:rFonts w:hint="eastAsia" w:ascii="宋体" w:hAnsi="宋体" w:eastAsia="宋体" w:cs="宋体"/>
                <w:sz w:val="22"/>
                <w:szCs w:val="22"/>
              </w:rPr>
              <w:t>资料档案，每次扣</w:t>
            </w:r>
            <w:r>
              <w:rPr>
                <w:rFonts w:hint="eastAsia" w:ascii="宋体" w:hAnsi="宋体" w:eastAsia="宋体" w:cs="宋体"/>
                <w:sz w:val="22"/>
                <w:szCs w:val="22"/>
                <w:lang w:val="en-US" w:eastAsia="zh-CN"/>
              </w:rPr>
              <w:t>3</w:t>
            </w:r>
            <w:r>
              <w:rPr>
                <w:rFonts w:hint="eastAsia" w:ascii="宋体" w:hAnsi="宋体" w:eastAsia="宋体" w:cs="宋体"/>
                <w:sz w:val="22"/>
                <w:szCs w:val="22"/>
              </w:rPr>
              <w:t>分。</w:t>
            </w:r>
          </w:p>
          <w:p w14:paraId="1BE5C664">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lang w:eastAsia="zh-CN"/>
              </w:rPr>
            </w:pPr>
            <w:r>
              <w:rPr>
                <w:rFonts w:hint="eastAsia" w:ascii="宋体" w:hAnsi="宋体" w:eastAsia="宋体" w:cs="宋体"/>
                <w:sz w:val="22"/>
                <w:szCs w:val="22"/>
                <w:lang w:val="en-US" w:eastAsia="zh-CN"/>
              </w:rPr>
              <w:t>7</w:t>
            </w:r>
            <w:r>
              <w:rPr>
                <w:rFonts w:hint="eastAsia" w:ascii="宋体" w:hAnsi="宋体" w:eastAsia="宋体" w:cs="宋体"/>
                <w:sz w:val="22"/>
                <w:szCs w:val="22"/>
              </w:rPr>
              <w:t>.重大节假日期间未按要求协助做好</w:t>
            </w:r>
            <w:r>
              <w:rPr>
                <w:rFonts w:hint="eastAsia" w:ascii="宋体" w:hAnsi="宋体" w:eastAsia="宋体" w:cs="宋体"/>
                <w:sz w:val="22"/>
                <w:szCs w:val="22"/>
                <w:lang w:eastAsia="zh-CN"/>
              </w:rPr>
              <w:t>观众</w:t>
            </w:r>
            <w:r>
              <w:rPr>
                <w:rFonts w:hint="eastAsia" w:ascii="宋体" w:hAnsi="宋体" w:eastAsia="宋体" w:cs="宋体"/>
                <w:sz w:val="22"/>
                <w:szCs w:val="22"/>
              </w:rPr>
              <w:t>的微信预约及客流引导等工作的，每次扣2分。</w:t>
            </w:r>
          </w:p>
          <w:p w14:paraId="4BBD2B6A">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8.</w:t>
            </w:r>
            <w:r>
              <w:rPr>
                <w:rFonts w:hint="eastAsia" w:ascii="宋体" w:hAnsi="宋体" w:eastAsia="宋体" w:cs="宋体"/>
                <w:sz w:val="22"/>
                <w:szCs w:val="22"/>
              </w:rPr>
              <w:t>未按要求做好</w:t>
            </w:r>
            <w:r>
              <w:rPr>
                <w:rFonts w:hint="eastAsia" w:ascii="宋体" w:hAnsi="宋体" w:eastAsia="宋体" w:cs="宋体"/>
                <w:sz w:val="22"/>
                <w:szCs w:val="22"/>
                <w:lang w:eastAsia="zh-CN"/>
              </w:rPr>
              <w:t>研学课室、考古课室、多功能厅</w:t>
            </w:r>
            <w:r>
              <w:rPr>
                <w:rFonts w:hint="eastAsia" w:ascii="宋体" w:hAnsi="宋体" w:eastAsia="宋体" w:cs="宋体"/>
                <w:sz w:val="22"/>
                <w:szCs w:val="22"/>
              </w:rPr>
              <w:t>维护的，每次扣2分。出现</w:t>
            </w:r>
            <w:r>
              <w:rPr>
                <w:rFonts w:hint="eastAsia" w:ascii="宋体" w:hAnsi="宋体" w:eastAsia="宋体" w:cs="宋体"/>
                <w:sz w:val="22"/>
                <w:szCs w:val="22"/>
                <w:lang w:eastAsia="zh-CN"/>
              </w:rPr>
              <w:t>教具</w:t>
            </w:r>
            <w:r>
              <w:rPr>
                <w:rFonts w:hint="eastAsia" w:ascii="宋体" w:hAnsi="宋体" w:eastAsia="宋体" w:cs="宋体"/>
                <w:sz w:val="22"/>
                <w:szCs w:val="22"/>
              </w:rPr>
              <w:t>损坏、相关设施故障等未及时发现上报，每次扣3分。</w:t>
            </w:r>
          </w:p>
        </w:tc>
        <w:tc>
          <w:tcPr>
            <w:tcW w:w="0" w:type="auto"/>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5CF02524">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0" w:type="auto"/>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1B06B69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r>
      <w:tr w14:paraId="44ACB87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noWrap w:val="0"/>
            <w:vAlign w:val="center"/>
          </w:tcPr>
          <w:p w14:paraId="30180BC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服务</w:t>
            </w:r>
          </w:p>
          <w:p w14:paraId="4FFF4346">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kern w:val="0"/>
                <w:sz w:val="22"/>
                <w:szCs w:val="22"/>
                <w:lang w:val="en-US" w:eastAsia="zh-CN"/>
              </w:rPr>
            </w:pPr>
            <w:r>
              <w:rPr>
                <w:rFonts w:hint="eastAsia" w:ascii="宋体" w:hAnsi="宋体" w:eastAsia="宋体" w:cs="宋体"/>
                <w:kern w:val="0"/>
                <w:sz w:val="22"/>
                <w:szCs w:val="22"/>
                <w:lang w:val="en-US" w:eastAsia="zh-CN"/>
              </w:rPr>
              <w:t>意见</w:t>
            </w:r>
          </w:p>
          <w:p w14:paraId="77942D5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lang w:eastAsia="zh-CN"/>
              </w:rPr>
            </w:pPr>
          </w:p>
        </w:tc>
        <w:tc>
          <w:tcPr>
            <w:tcW w:w="1343"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5E0CED55">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认真记录、收集、整理各方意见、建议，及时反馈给馆方。</w:t>
            </w:r>
          </w:p>
        </w:tc>
        <w:tc>
          <w:tcPr>
            <w:tcW w:w="586"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4E05E60B">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8</w:t>
            </w:r>
          </w:p>
        </w:tc>
        <w:tc>
          <w:tcPr>
            <w:tcW w:w="4874"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34F2B611">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1.未按要求认真记录各方提出的</w:t>
            </w:r>
            <w:r>
              <w:rPr>
                <w:rFonts w:hint="eastAsia" w:ascii="宋体" w:hAnsi="宋体" w:eastAsia="宋体" w:cs="宋体"/>
                <w:sz w:val="22"/>
                <w:szCs w:val="22"/>
                <w:lang w:eastAsia="zh-CN"/>
              </w:rPr>
              <w:t>公共服务方面的</w:t>
            </w:r>
            <w:r>
              <w:rPr>
                <w:rFonts w:hint="eastAsia" w:ascii="宋体" w:hAnsi="宋体" w:eastAsia="宋体" w:cs="宋体"/>
                <w:sz w:val="22"/>
                <w:szCs w:val="22"/>
              </w:rPr>
              <w:t>意见、建议或投诉等，每次扣2分。未及时处理、上报的每次扣2分。</w:t>
            </w:r>
          </w:p>
          <w:p w14:paraId="34533A2A">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2.未按要求每天下班前收集整理场馆内</w:t>
            </w:r>
            <w:r>
              <w:rPr>
                <w:rFonts w:hint="eastAsia" w:ascii="宋体" w:hAnsi="宋体" w:eastAsia="宋体" w:cs="宋体"/>
                <w:sz w:val="22"/>
                <w:szCs w:val="22"/>
                <w:lang w:eastAsia="zh-CN"/>
              </w:rPr>
              <w:t>公共服务</w:t>
            </w:r>
            <w:r>
              <w:rPr>
                <w:rFonts w:hint="eastAsia" w:ascii="宋体" w:hAnsi="宋体" w:eastAsia="宋体" w:cs="宋体"/>
                <w:sz w:val="22"/>
                <w:szCs w:val="22"/>
              </w:rPr>
              <w:t>投诉意见薄，每次扣1分。未及时处理、上报的每次扣2分</w:t>
            </w:r>
          </w:p>
          <w:p w14:paraId="0E295900">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3.隐瞒投诉情况每次扣6分。</w:t>
            </w:r>
          </w:p>
          <w:p w14:paraId="62E4A4BA">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4.</w:t>
            </w:r>
            <w:r>
              <w:rPr>
                <w:rFonts w:hint="eastAsia" w:ascii="宋体" w:hAnsi="宋体" w:eastAsia="宋体" w:cs="宋体"/>
                <w:sz w:val="22"/>
                <w:szCs w:val="22"/>
                <w:lang w:eastAsia="zh-CN"/>
              </w:rPr>
              <w:t>未</w:t>
            </w:r>
            <w:r>
              <w:rPr>
                <w:rFonts w:hint="eastAsia" w:ascii="宋体" w:hAnsi="宋体" w:eastAsia="宋体" w:cs="宋体"/>
                <w:sz w:val="22"/>
                <w:szCs w:val="22"/>
              </w:rPr>
              <w:t>在每周</w:t>
            </w:r>
            <w:r>
              <w:rPr>
                <w:rFonts w:hint="eastAsia" w:ascii="宋体" w:hAnsi="宋体" w:eastAsia="宋体" w:cs="宋体"/>
                <w:sz w:val="22"/>
                <w:szCs w:val="22"/>
                <w:lang w:eastAsia="zh-CN"/>
              </w:rPr>
              <w:t>一将上周公共服务</w:t>
            </w:r>
            <w:r>
              <w:rPr>
                <w:rFonts w:hint="eastAsia" w:ascii="宋体" w:hAnsi="宋体" w:eastAsia="宋体" w:cs="宋体"/>
                <w:sz w:val="22"/>
                <w:szCs w:val="22"/>
              </w:rPr>
              <w:t>的</w:t>
            </w:r>
            <w:r>
              <w:rPr>
                <w:rFonts w:hint="eastAsia" w:ascii="宋体" w:hAnsi="宋体" w:eastAsia="宋体" w:cs="宋体"/>
                <w:sz w:val="22"/>
                <w:szCs w:val="22"/>
                <w:lang w:eastAsia="zh-CN"/>
              </w:rPr>
              <w:t>意见</w:t>
            </w:r>
            <w:r>
              <w:rPr>
                <w:rFonts w:hint="eastAsia" w:ascii="宋体" w:hAnsi="宋体" w:eastAsia="宋体" w:cs="宋体"/>
                <w:sz w:val="22"/>
                <w:szCs w:val="22"/>
              </w:rPr>
              <w:t>记录和处理情况汇总上报的，每次扣3分。</w:t>
            </w:r>
          </w:p>
        </w:tc>
        <w:tc>
          <w:tcPr>
            <w:tcW w:w="0" w:type="auto"/>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5D3A7C20">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0" w:type="auto"/>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2013184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r>
      <w:tr w14:paraId="5F9F388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1AE469E5">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培训</w:t>
            </w:r>
          </w:p>
        </w:tc>
        <w:tc>
          <w:tcPr>
            <w:tcW w:w="1343"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10DD3D1A">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公司在服务周期内，开展不少于2天的岗位培训，每季度必须开展1次定期专业主题培训；每年开展不少于2次的不定期培训。</w:t>
            </w:r>
          </w:p>
        </w:tc>
        <w:tc>
          <w:tcPr>
            <w:tcW w:w="586"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0FCA951A">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lang w:eastAsia="zh-CN"/>
              </w:rPr>
            </w:pPr>
            <w:r>
              <w:rPr>
                <w:rFonts w:hint="eastAsia" w:ascii="宋体" w:hAnsi="宋体" w:eastAsia="宋体" w:cs="宋体"/>
                <w:sz w:val="22"/>
                <w:szCs w:val="22"/>
              </w:rPr>
              <w:t>1</w:t>
            </w:r>
            <w:r>
              <w:rPr>
                <w:rFonts w:hint="eastAsia" w:ascii="宋体" w:hAnsi="宋体" w:eastAsia="宋体" w:cs="宋体"/>
                <w:sz w:val="22"/>
                <w:szCs w:val="22"/>
                <w:lang w:val="en-US" w:eastAsia="zh-CN"/>
              </w:rPr>
              <w:t>0</w:t>
            </w:r>
          </w:p>
        </w:tc>
        <w:tc>
          <w:tcPr>
            <w:tcW w:w="4874"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4BB297E7">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1.未对新入职员工进行</w:t>
            </w:r>
            <w:r>
              <w:rPr>
                <w:rFonts w:hint="eastAsia" w:ascii="宋体" w:hAnsi="宋体" w:eastAsia="宋体" w:cs="宋体"/>
                <w:sz w:val="22"/>
                <w:szCs w:val="22"/>
                <w:lang w:eastAsia="zh-CN"/>
              </w:rPr>
              <w:t>入门</w:t>
            </w:r>
            <w:r>
              <w:rPr>
                <w:rFonts w:hint="eastAsia" w:ascii="宋体" w:hAnsi="宋体" w:eastAsia="宋体" w:cs="宋体"/>
                <w:sz w:val="22"/>
                <w:szCs w:val="22"/>
              </w:rPr>
              <w:t>培训，或培训不到位，每人每次扣2分；</w:t>
            </w:r>
          </w:p>
          <w:p w14:paraId="3A21506E">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2.每季度未按要求开展定期专业主题培训的，每次扣3分；</w:t>
            </w:r>
          </w:p>
          <w:p w14:paraId="6172012C">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3.未按要求开展不定期培训的，每次扣2分。</w:t>
            </w:r>
          </w:p>
        </w:tc>
        <w:tc>
          <w:tcPr>
            <w:tcW w:w="0" w:type="auto"/>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795D909D">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0" w:type="auto"/>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677FA79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r>
      <w:tr w14:paraId="18B9E0A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77372591">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lang w:eastAsia="zh-CN"/>
              </w:rPr>
            </w:pPr>
            <w:r>
              <w:rPr>
                <w:rFonts w:hint="eastAsia" w:ascii="宋体" w:hAnsi="宋体" w:eastAsia="宋体" w:cs="宋体"/>
                <w:sz w:val="22"/>
                <w:szCs w:val="22"/>
              </w:rPr>
              <w:t>考核</w:t>
            </w:r>
            <w:r>
              <w:rPr>
                <w:rFonts w:hint="eastAsia" w:ascii="宋体" w:hAnsi="宋体" w:eastAsia="宋体" w:cs="宋体"/>
                <w:sz w:val="22"/>
                <w:szCs w:val="22"/>
                <w:lang w:eastAsia="zh-CN"/>
              </w:rPr>
              <w:t>、在岗</w:t>
            </w:r>
          </w:p>
        </w:tc>
        <w:tc>
          <w:tcPr>
            <w:tcW w:w="1343"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02F0544D">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每月对讲解接待服务进行考核</w:t>
            </w:r>
          </w:p>
        </w:tc>
        <w:tc>
          <w:tcPr>
            <w:tcW w:w="586"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180B87F1">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10</w:t>
            </w:r>
          </w:p>
        </w:tc>
        <w:tc>
          <w:tcPr>
            <w:tcW w:w="4874"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4DF53667">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1.讲解业务考核不达标准，每人每次扣2分。连续2月不合格的，每人每次扣4分。无故不参加业务考核的，每人每次扣2分。</w:t>
            </w:r>
          </w:p>
          <w:p w14:paraId="3A88707E">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2.</w:t>
            </w:r>
            <w:r>
              <w:rPr>
                <w:rFonts w:hint="eastAsia" w:ascii="宋体" w:hAnsi="宋体" w:eastAsia="宋体" w:cs="宋体"/>
                <w:sz w:val="22"/>
                <w:szCs w:val="22"/>
                <w:lang w:eastAsia="zh-CN"/>
              </w:rPr>
              <w:t>开放期间需保证每日至少有</w:t>
            </w:r>
            <w:r>
              <w:rPr>
                <w:rFonts w:hint="eastAsia" w:ascii="宋体" w:hAnsi="宋体" w:eastAsia="宋体" w:cs="宋体"/>
                <w:sz w:val="22"/>
                <w:szCs w:val="22"/>
                <w:lang w:val="en-US" w:eastAsia="zh-CN"/>
              </w:rPr>
              <w:t>6名</w:t>
            </w:r>
            <w:r>
              <w:rPr>
                <w:rFonts w:hint="eastAsia" w:ascii="宋体" w:hAnsi="宋体" w:eastAsia="宋体" w:cs="宋体"/>
                <w:sz w:val="22"/>
                <w:szCs w:val="22"/>
                <w:lang w:eastAsia="zh-CN"/>
              </w:rPr>
              <w:t>公共服务人员在岗，若人员</w:t>
            </w:r>
            <w:r>
              <w:rPr>
                <w:rFonts w:hint="eastAsia" w:ascii="宋体" w:hAnsi="宋体" w:eastAsia="宋体" w:cs="宋体"/>
                <w:sz w:val="22"/>
                <w:szCs w:val="22"/>
              </w:rPr>
              <w:t>请假或按国家有关规定休假的，</w:t>
            </w:r>
            <w:r>
              <w:rPr>
                <w:rFonts w:hint="eastAsia" w:ascii="宋体" w:hAnsi="宋体" w:eastAsia="宋体" w:cs="宋体"/>
                <w:sz w:val="22"/>
                <w:szCs w:val="22"/>
                <w:lang w:eastAsia="zh-CN"/>
              </w:rPr>
              <w:t>乙方主管需提前至少</w:t>
            </w:r>
            <w:r>
              <w:rPr>
                <w:rFonts w:hint="eastAsia" w:ascii="宋体" w:hAnsi="宋体" w:eastAsia="宋体" w:cs="宋体"/>
                <w:sz w:val="22"/>
                <w:szCs w:val="22"/>
                <w:lang w:val="en-US" w:eastAsia="zh-CN"/>
              </w:rPr>
              <w:t>1天</w:t>
            </w:r>
            <w:r>
              <w:rPr>
                <w:rFonts w:hint="eastAsia" w:ascii="宋体" w:hAnsi="宋体" w:eastAsia="宋体" w:cs="宋体"/>
                <w:sz w:val="22"/>
                <w:szCs w:val="22"/>
                <w:lang w:eastAsia="zh-CN"/>
              </w:rPr>
              <w:t>向甲方报备并补齐值班人员</w:t>
            </w:r>
            <w:r>
              <w:rPr>
                <w:rFonts w:hint="eastAsia" w:ascii="宋体" w:hAnsi="宋体" w:eastAsia="宋体" w:cs="宋体"/>
                <w:sz w:val="22"/>
                <w:szCs w:val="22"/>
              </w:rPr>
              <w:t>。</w:t>
            </w:r>
            <w:r>
              <w:rPr>
                <w:rFonts w:hint="eastAsia" w:ascii="宋体" w:hAnsi="宋体" w:eastAsia="宋体" w:cs="宋体"/>
                <w:sz w:val="22"/>
                <w:szCs w:val="22"/>
                <w:lang w:eastAsia="zh-CN"/>
              </w:rPr>
              <w:t>违反</w:t>
            </w:r>
            <w:r>
              <w:rPr>
                <w:rFonts w:hint="eastAsia" w:ascii="宋体" w:hAnsi="宋体" w:eastAsia="宋体" w:cs="宋体"/>
                <w:sz w:val="22"/>
                <w:szCs w:val="22"/>
              </w:rPr>
              <w:t>每次扣</w:t>
            </w:r>
            <w:r>
              <w:rPr>
                <w:rFonts w:hint="eastAsia" w:ascii="宋体" w:hAnsi="宋体" w:eastAsia="宋体" w:cs="宋体"/>
                <w:sz w:val="22"/>
                <w:szCs w:val="22"/>
                <w:lang w:val="en-US" w:eastAsia="zh-CN"/>
              </w:rPr>
              <w:t>4</w:t>
            </w:r>
            <w:r>
              <w:rPr>
                <w:rFonts w:hint="eastAsia" w:ascii="宋体" w:hAnsi="宋体" w:eastAsia="宋体" w:cs="宋体"/>
                <w:sz w:val="22"/>
                <w:szCs w:val="22"/>
              </w:rPr>
              <w:t>分。</w:t>
            </w:r>
          </w:p>
        </w:tc>
        <w:tc>
          <w:tcPr>
            <w:tcW w:w="0" w:type="auto"/>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09E3CE4A">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0" w:type="auto"/>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232B97B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r>
      <w:tr w14:paraId="617737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0" w:type="auto"/>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0A542566">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其他</w:t>
            </w:r>
          </w:p>
        </w:tc>
        <w:tc>
          <w:tcPr>
            <w:tcW w:w="1343"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3DAF6F98">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lang w:eastAsia="zh-CN"/>
              </w:rPr>
              <w:t>讲解服务</w:t>
            </w:r>
            <w:r>
              <w:rPr>
                <w:rFonts w:hint="eastAsia" w:ascii="宋体" w:hAnsi="宋体" w:eastAsia="宋体" w:cs="宋体"/>
                <w:sz w:val="22"/>
                <w:szCs w:val="22"/>
              </w:rPr>
              <w:t>接待处要整洁，讲解员精神饱满，热情周到接待观众，不从事与工作无关事情。</w:t>
            </w:r>
          </w:p>
        </w:tc>
        <w:tc>
          <w:tcPr>
            <w:tcW w:w="586"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210ABE39">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lang w:eastAsia="zh-CN"/>
              </w:rPr>
            </w:pPr>
            <w:r>
              <w:rPr>
                <w:rFonts w:hint="eastAsia" w:ascii="宋体" w:hAnsi="宋体" w:eastAsia="宋体" w:cs="宋体"/>
                <w:sz w:val="22"/>
                <w:szCs w:val="22"/>
                <w:lang w:val="en-US" w:eastAsia="zh-CN"/>
              </w:rPr>
              <w:t>4</w:t>
            </w:r>
          </w:p>
        </w:tc>
        <w:tc>
          <w:tcPr>
            <w:tcW w:w="4874"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1EEF480C">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lang w:eastAsia="zh-CN"/>
              </w:rPr>
              <w:t>馆方不定时</w:t>
            </w:r>
            <w:r>
              <w:rPr>
                <w:rFonts w:hint="eastAsia" w:ascii="宋体" w:hAnsi="宋体" w:eastAsia="宋体" w:cs="宋体"/>
                <w:sz w:val="22"/>
                <w:szCs w:val="22"/>
              </w:rPr>
              <w:t>检查前台的整洁情况。发现前台有杂物、零食、与工作无关的书籍等，每次扣</w:t>
            </w:r>
            <w:r>
              <w:rPr>
                <w:rFonts w:hint="eastAsia" w:ascii="宋体" w:hAnsi="宋体" w:eastAsia="宋体" w:cs="宋体"/>
                <w:sz w:val="22"/>
                <w:szCs w:val="22"/>
                <w:lang w:val="en-US" w:eastAsia="zh-CN"/>
              </w:rPr>
              <w:t>1</w:t>
            </w:r>
            <w:r>
              <w:rPr>
                <w:rFonts w:hint="eastAsia" w:ascii="宋体" w:hAnsi="宋体" w:eastAsia="宋体" w:cs="宋体"/>
                <w:sz w:val="22"/>
                <w:szCs w:val="22"/>
              </w:rPr>
              <w:t>分。物品随意摆放的，每次扣1分。从事与工作无关事情的，每人每次扣</w:t>
            </w:r>
            <w:r>
              <w:rPr>
                <w:rFonts w:hint="eastAsia" w:ascii="宋体" w:hAnsi="宋体" w:eastAsia="宋体" w:cs="宋体"/>
                <w:sz w:val="22"/>
                <w:szCs w:val="22"/>
                <w:lang w:val="en-US" w:eastAsia="zh-CN"/>
              </w:rPr>
              <w:t>2</w:t>
            </w:r>
            <w:r>
              <w:rPr>
                <w:rFonts w:hint="eastAsia" w:ascii="宋体" w:hAnsi="宋体" w:eastAsia="宋体" w:cs="宋体"/>
                <w:sz w:val="22"/>
                <w:szCs w:val="22"/>
              </w:rPr>
              <w:t>分。</w:t>
            </w:r>
          </w:p>
        </w:tc>
        <w:tc>
          <w:tcPr>
            <w:tcW w:w="0" w:type="auto"/>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59654C93">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c>
          <w:tcPr>
            <w:tcW w:w="0" w:type="auto"/>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41220B8E">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r>
      <w:tr w14:paraId="06CF85B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144" w:type="dxa"/>
            <w:gridSpan w:val="2"/>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15FB16A4">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合计分值</w:t>
            </w:r>
          </w:p>
        </w:tc>
        <w:tc>
          <w:tcPr>
            <w:tcW w:w="586"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5DDD1F02">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100</w:t>
            </w:r>
          </w:p>
        </w:tc>
        <w:tc>
          <w:tcPr>
            <w:tcW w:w="4874" w:type="dxa"/>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04B35116">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r>
              <w:rPr>
                <w:rFonts w:hint="eastAsia" w:ascii="宋体" w:hAnsi="宋体" w:eastAsia="宋体" w:cs="宋体"/>
                <w:sz w:val="22"/>
                <w:szCs w:val="22"/>
              </w:rPr>
              <w:t>合计得分</w:t>
            </w:r>
          </w:p>
        </w:tc>
        <w:tc>
          <w:tcPr>
            <w:tcW w:w="0" w:type="auto"/>
            <w:gridSpan w:val="2"/>
            <w:tcBorders>
              <w:top w:val="nil"/>
              <w:left w:val="single" w:color="000000" w:sz="4" w:space="0"/>
              <w:bottom w:val="single" w:color="000000" w:sz="4" w:space="0"/>
              <w:right w:val="single" w:color="000000" w:sz="4" w:space="0"/>
            </w:tcBorders>
            <w:noWrap w:val="0"/>
            <w:tcMar>
              <w:top w:w="0" w:type="dxa"/>
              <w:left w:w="105" w:type="dxa"/>
              <w:bottom w:w="0" w:type="dxa"/>
              <w:right w:w="105" w:type="dxa"/>
            </w:tcMar>
            <w:vAlign w:val="center"/>
          </w:tcPr>
          <w:p w14:paraId="3EABE3E2">
            <w:pPr>
              <w:pStyle w:val="15"/>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2"/>
                <w:szCs w:val="22"/>
              </w:rPr>
            </w:pPr>
          </w:p>
        </w:tc>
      </w:tr>
    </w:tbl>
    <w:p w14:paraId="5BCCFA9D">
      <w:pPr>
        <w:pStyle w:val="15"/>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宋体" w:hAnsi="宋体" w:eastAsia="宋体" w:cs="宋体"/>
          <w:sz w:val="22"/>
          <w:szCs w:val="22"/>
        </w:rPr>
      </w:pPr>
    </w:p>
    <w:p w14:paraId="78C47022">
      <w:pPr>
        <w:pStyle w:val="15"/>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宋体" w:hAnsi="宋体" w:eastAsia="宋体" w:cs="宋体"/>
          <w:sz w:val="22"/>
          <w:szCs w:val="22"/>
        </w:rPr>
      </w:pPr>
      <w:r>
        <w:rPr>
          <w:rFonts w:hint="eastAsia" w:ascii="宋体" w:hAnsi="宋体" w:eastAsia="宋体" w:cs="宋体"/>
          <w:sz w:val="22"/>
          <w:szCs w:val="22"/>
        </w:rPr>
        <w:t xml:space="preserve">考评部门：               </w:t>
      </w: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 xml:space="preserve">  考评人：             </w:t>
      </w: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服务公司确认人：</w:t>
      </w:r>
    </w:p>
    <w:p w14:paraId="58EB419C">
      <w:pPr>
        <w:pStyle w:val="15"/>
        <w:keepNext w:val="0"/>
        <w:keepLines w:val="0"/>
        <w:pageBreakBefore w:val="0"/>
        <w:kinsoku/>
        <w:wordWrap/>
        <w:overflowPunct/>
        <w:topLinePunct w:val="0"/>
        <w:autoSpaceDE/>
        <w:autoSpaceDN/>
        <w:bidi w:val="0"/>
        <w:adjustRightInd/>
        <w:snapToGrid/>
        <w:spacing w:line="400" w:lineRule="exact"/>
        <w:jc w:val="right"/>
        <w:textAlignment w:val="auto"/>
        <w:rPr>
          <w:rFonts w:hint="eastAsia" w:ascii="宋体" w:hAnsi="宋体" w:eastAsia="宋体" w:cs="宋体"/>
          <w:sz w:val="22"/>
          <w:szCs w:val="22"/>
        </w:rPr>
      </w:pPr>
      <w:r>
        <w:rPr>
          <w:rFonts w:hint="eastAsia" w:ascii="宋体" w:hAnsi="宋体" w:eastAsia="宋体" w:cs="宋体"/>
          <w:sz w:val="22"/>
          <w:szCs w:val="22"/>
        </w:rPr>
        <w:t>年    月     日</w:t>
      </w:r>
    </w:p>
    <w:p w14:paraId="59140408">
      <w:pPr>
        <w:rPr>
          <w:color w:val="auto"/>
          <w:sz w:val="22"/>
          <w:szCs w:val="22"/>
          <w:lang w:eastAsia="zh-Hans"/>
        </w:rPr>
      </w:pPr>
      <w:bookmarkStart w:id="1" w:name="_GoBack"/>
      <w:bookmarkEnd w:id="1"/>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ED3AF">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5D075A">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05D075A">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B52B8D"/>
    <w:rsid w:val="002666D2"/>
    <w:rsid w:val="004C2454"/>
    <w:rsid w:val="00550430"/>
    <w:rsid w:val="00594B74"/>
    <w:rsid w:val="006163FB"/>
    <w:rsid w:val="0079513A"/>
    <w:rsid w:val="00800A43"/>
    <w:rsid w:val="00831181"/>
    <w:rsid w:val="008419AD"/>
    <w:rsid w:val="00D334BC"/>
    <w:rsid w:val="00E145DB"/>
    <w:rsid w:val="043518E1"/>
    <w:rsid w:val="04CC5833"/>
    <w:rsid w:val="07037145"/>
    <w:rsid w:val="07BD5DBF"/>
    <w:rsid w:val="080957D5"/>
    <w:rsid w:val="089B5A6A"/>
    <w:rsid w:val="0C50257C"/>
    <w:rsid w:val="145B2071"/>
    <w:rsid w:val="17200B0B"/>
    <w:rsid w:val="177F50ED"/>
    <w:rsid w:val="19C534ED"/>
    <w:rsid w:val="1FC55D8D"/>
    <w:rsid w:val="21515666"/>
    <w:rsid w:val="23FB55E8"/>
    <w:rsid w:val="2A3B4AEB"/>
    <w:rsid w:val="2BFA3A38"/>
    <w:rsid w:val="34604B37"/>
    <w:rsid w:val="399865DE"/>
    <w:rsid w:val="3CFFDA23"/>
    <w:rsid w:val="3E816775"/>
    <w:rsid w:val="3FB72DC2"/>
    <w:rsid w:val="3FD45D1E"/>
    <w:rsid w:val="41D0088B"/>
    <w:rsid w:val="4229503B"/>
    <w:rsid w:val="42562F86"/>
    <w:rsid w:val="474F4A54"/>
    <w:rsid w:val="48436E8E"/>
    <w:rsid w:val="48EC4C44"/>
    <w:rsid w:val="4DD95598"/>
    <w:rsid w:val="4E9D3D34"/>
    <w:rsid w:val="51071CF6"/>
    <w:rsid w:val="537625A0"/>
    <w:rsid w:val="53B52B8D"/>
    <w:rsid w:val="57AF1659"/>
    <w:rsid w:val="5A7E2464"/>
    <w:rsid w:val="5E4E3FBA"/>
    <w:rsid w:val="5F1A0173"/>
    <w:rsid w:val="5FBDB964"/>
    <w:rsid w:val="60401453"/>
    <w:rsid w:val="615A3AE7"/>
    <w:rsid w:val="61A11227"/>
    <w:rsid w:val="65E801A6"/>
    <w:rsid w:val="6AF6B4B2"/>
    <w:rsid w:val="6D555855"/>
    <w:rsid w:val="6FDF4312"/>
    <w:rsid w:val="6FE96A61"/>
    <w:rsid w:val="70FF701E"/>
    <w:rsid w:val="71533100"/>
    <w:rsid w:val="71FA3814"/>
    <w:rsid w:val="73527951"/>
    <w:rsid w:val="74026FBC"/>
    <w:rsid w:val="77F79321"/>
    <w:rsid w:val="7AAD715B"/>
    <w:rsid w:val="7F7C4879"/>
    <w:rsid w:val="7F7F7E94"/>
    <w:rsid w:val="7F7F7FB6"/>
    <w:rsid w:val="7FD066D4"/>
    <w:rsid w:val="7FDB1B97"/>
    <w:rsid w:val="7FEC0BF9"/>
    <w:rsid w:val="7FFDAA95"/>
    <w:rsid w:val="9FD35C48"/>
    <w:rsid w:val="BBBF7779"/>
    <w:rsid w:val="BF89700A"/>
    <w:rsid w:val="F9FA8832"/>
    <w:rsid w:val="FA9F8EC8"/>
    <w:rsid w:val="FAF3070D"/>
    <w:rsid w:val="FBD72E15"/>
    <w:rsid w:val="FBF94665"/>
    <w:rsid w:val="FDF971E2"/>
    <w:rsid w:val="FDFD3D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1"/>
    <w:qFormat/>
    <w:uiPriority w:val="0"/>
    <w:pPr>
      <w:jc w:val="left"/>
    </w:pPr>
  </w:style>
  <w:style w:type="paragraph" w:styleId="5">
    <w:name w:val="Body Text Indent"/>
    <w:basedOn w:val="1"/>
    <w:next w:val="1"/>
    <w:qFormat/>
    <w:uiPriority w:val="0"/>
    <w:pPr>
      <w:spacing w:line="360" w:lineRule="auto"/>
      <w:ind w:firstLine="490"/>
      <w:jc w:val="left"/>
    </w:pPr>
    <w:rPr>
      <w:rFonts w:ascii="Century Gothic" w:hAnsi="Century Gothic" w:eastAsia="Century Gothic"/>
      <w:sz w:val="24"/>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semiHidden/>
    <w:unhideWhenUsed/>
    <w:qFormat/>
    <w:uiPriority w:val="99"/>
    <w:pPr>
      <w:spacing w:beforeAutospacing="1" w:afterAutospacing="1"/>
      <w:jc w:val="left"/>
    </w:pPr>
    <w:rPr>
      <w:rFonts w:cs="Times New Roman"/>
      <w:kern w:val="0"/>
      <w:sz w:val="24"/>
    </w:rPr>
  </w:style>
  <w:style w:type="paragraph" w:styleId="9">
    <w:name w:val="annotation subject"/>
    <w:basedOn w:val="4"/>
    <w:next w:val="4"/>
    <w:link w:val="22"/>
    <w:qFormat/>
    <w:uiPriority w:val="0"/>
    <w:rPr>
      <w:b/>
      <w:bCs/>
    </w:rPr>
  </w:style>
  <w:style w:type="paragraph" w:styleId="10">
    <w:name w:val="Body Text First Indent 2"/>
    <w:basedOn w:val="5"/>
    <w:next w:val="1"/>
    <w:qFormat/>
    <w:uiPriority w:val="0"/>
    <w:pPr>
      <w:keepNext/>
      <w:keepLines/>
      <w:spacing w:line="560" w:lineRule="exact"/>
      <w:ind w:firstLine="480"/>
      <w:outlineLvl w:val="3"/>
    </w:pPr>
    <w:rPr>
      <w:rFonts w:ascii="Times New Roman" w:hAnsi="Times New Roman" w:eastAsia="仿宋_GB2312" w:cs="Times New Roman"/>
      <w:bCs/>
      <w:sz w:val="32"/>
      <w:szCs w:val="28"/>
    </w:rPr>
  </w:style>
  <w:style w:type="character" w:styleId="13">
    <w:name w:val="Strong"/>
    <w:basedOn w:val="12"/>
    <w:qFormat/>
    <w:uiPriority w:val="0"/>
    <w:rPr>
      <w:b/>
    </w:rPr>
  </w:style>
  <w:style w:type="character" w:styleId="14">
    <w:name w:val="annotation reference"/>
    <w:basedOn w:val="12"/>
    <w:qFormat/>
    <w:uiPriority w:val="0"/>
    <w:rPr>
      <w:sz w:val="21"/>
      <w:szCs w:val="21"/>
    </w:rPr>
  </w:style>
  <w:style w:type="paragraph" w:customStyle="1" w:styleId="15">
    <w:name w:val="null3"/>
    <w:hidden/>
    <w:qFormat/>
    <w:uiPriority w:val="0"/>
    <w:rPr>
      <w:rFonts w:hint="eastAsia" w:asciiTheme="minorHAnsi" w:hAnsiTheme="minorHAnsi" w:eastAsiaTheme="minorEastAsia" w:cstheme="minorBidi"/>
      <w:lang w:val="en-US" w:eastAsia="zh-Hans" w:bidi="ar-SA"/>
    </w:rPr>
  </w:style>
  <w:style w:type="character" w:customStyle="1" w:styleId="16">
    <w:name w:val="font11"/>
    <w:basedOn w:val="12"/>
    <w:qFormat/>
    <w:uiPriority w:val="0"/>
    <w:rPr>
      <w:rFonts w:hint="eastAsia" w:ascii="宋体" w:hAnsi="宋体" w:eastAsia="宋体" w:cs="宋体"/>
      <w:color w:val="000000"/>
      <w:sz w:val="20"/>
      <w:szCs w:val="20"/>
      <w:u w:val="none"/>
    </w:rPr>
  </w:style>
  <w:style w:type="character" w:customStyle="1" w:styleId="17">
    <w:name w:val="font21"/>
    <w:basedOn w:val="12"/>
    <w:qFormat/>
    <w:uiPriority w:val="0"/>
    <w:rPr>
      <w:rFonts w:ascii="微软雅黑" w:hAnsi="微软雅黑" w:eastAsia="微软雅黑" w:cs="微软雅黑"/>
      <w:color w:val="000000"/>
      <w:sz w:val="20"/>
      <w:szCs w:val="20"/>
      <w:u w:val="none"/>
    </w:rPr>
  </w:style>
  <w:style w:type="paragraph" w:customStyle="1" w:styleId="18">
    <w:name w:val="表格正文"/>
    <w:qFormat/>
    <w:uiPriority w:val="1"/>
    <w:pPr>
      <w:snapToGrid w:val="0"/>
      <w:jc w:val="both"/>
    </w:pPr>
    <w:rPr>
      <w:rFonts w:ascii="宋体" w:hAnsi="宋体" w:eastAsia="宋体" w:cstheme="minorBidi"/>
      <w:kern w:val="2"/>
      <w:sz w:val="24"/>
      <w:szCs w:val="21"/>
      <w:lang w:val="en-US" w:eastAsia="zh-CN" w:bidi="ar-SA"/>
    </w:rPr>
  </w:style>
  <w:style w:type="paragraph" w:customStyle="1" w:styleId="19">
    <w:name w:val="正文-首缩2字符"/>
    <w:basedOn w:val="1"/>
    <w:qFormat/>
    <w:uiPriority w:val="99"/>
    <w:pPr>
      <w:ind w:firstLine="200" w:firstLineChars="200"/>
      <w:jc w:val="left"/>
    </w:pPr>
    <w:rPr>
      <w:rFonts w:hAnsi="宋体" w:cs="宋体"/>
    </w:rPr>
  </w:style>
  <w:style w:type="paragraph" w:customStyle="1" w:styleId="20">
    <w:name w:val="正文缩进2格"/>
    <w:basedOn w:val="1"/>
    <w:next w:val="1"/>
    <w:qFormat/>
    <w:uiPriority w:val="0"/>
    <w:pPr>
      <w:spacing w:line="600" w:lineRule="exact"/>
      <w:ind w:firstLine="639" w:firstLineChars="206"/>
    </w:pPr>
    <w:rPr>
      <w:rFonts w:ascii="仿宋_GB2312" w:hAnsi="宋体" w:eastAsia="仿宋_GB2312"/>
      <w:sz w:val="31"/>
      <w:szCs w:val="28"/>
    </w:rPr>
  </w:style>
  <w:style w:type="character" w:customStyle="1" w:styleId="21">
    <w:name w:val="批注文字 字符"/>
    <w:basedOn w:val="12"/>
    <w:link w:val="4"/>
    <w:qFormat/>
    <w:uiPriority w:val="0"/>
    <w:rPr>
      <w:rFonts w:asciiTheme="minorHAnsi" w:hAnsiTheme="minorHAnsi" w:eastAsiaTheme="minorEastAsia" w:cstheme="minorBidi"/>
      <w:kern w:val="2"/>
      <w:sz w:val="21"/>
      <w:szCs w:val="24"/>
    </w:rPr>
  </w:style>
  <w:style w:type="character" w:customStyle="1" w:styleId="22">
    <w:name w:val="批注主题 字符"/>
    <w:basedOn w:val="21"/>
    <w:link w:val="9"/>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7658</Words>
  <Characters>7849</Characters>
  <Lines>262</Lines>
  <Paragraphs>73</Paragraphs>
  <TotalTime>0</TotalTime>
  <ScaleCrop>false</ScaleCrop>
  <LinksUpToDate>false</LinksUpToDate>
  <CharactersWithSpaces>7896</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2026-06-21T12:36:00Z</dcterms:created>
  <dc:creator>广东政府采购智慧云平台</dc:creator>
  <cp:lastModifiedBy>1</cp:lastModifiedBy>
  <dcterms:modified xsi:type="dcterms:W3CDTF">2026-06-23T09:32:04Z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AD51D8163045408EA5FE6D745B82EFA6_13</vt:lpwstr>
  </property>
  <property fmtid="{D5CDD505-2E9C-101B-9397-08002B2CF9AE}" pid="4" name="KSOTemplateDocerSaveRecord">
    <vt:lpwstr>eyJoZGlkIjoiZWM2YzcyODM4NTcyMmRiOGY3NzU1MDJmYjg3NjE4MDgiLCJ1c2VySWQiOiIzMTQ0MjA5MjEifQ==</vt:lpwstr>
  </property>
</Properties>
</file>