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FA5E5">
      <w:pPr>
        <w:widowControl/>
        <w:spacing w:line="360" w:lineRule="auto"/>
        <w:rPr>
          <w:rFonts w:hint="eastAsia" w:ascii="仿宋" w:hAnsi="仿宋" w:eastAsia="仿宋" w:cs="Helvetica Neue"/>
          <w:b/>
          <w:color w:val="000000" w:themeColor="text1"/>
          <w:kern w:val="0"/>
          <w:sz w:val="32"/>
          <w:szCs w:val="32"/>
          <w:lang w:val="en-US" w:eastAsia="zh-CN"/>
          <w14:textFill>
            <w14:solidFill>
              <w14:schemeClr w14:val="tx1"/>
            </w14:solidFill>
          </w14:textFill>
        </w:rPr>
      </w:pPr>
      <w:r>
        <w:rPr>
          <w:rFonts w:hint="eastAsia" w:ascii="仿宋" w:hAnsi="仿宋" w:eastAsia="仿宋" w:cs="Helvetica Neue"/>
          <w:b/>
          <w:color w:val="000000" w:themeColor="text1"/>
          <w:kern w:val="0"/>
          <w:sz w:val="32"/>
          <w:szCs w:val="32"/>
          <w:lang w:val="en-US" w:eastAsia="zh-CN"/>
          <w14:textFill>
            <w14:solidFill>
              <w14:schemeClr w14:val="tx1"/>
            </w14:solidFill>
          </w14:textFill>
        </w:rPr>
        <w:t>附件二：采购需求</w:t>
      </w:r>
    </w:p>
    <w:p w14:paraId="6B190343">
      <w:pPr>
        <w:pStyle w:val="8"/>
        <w:snapToGrid w:val="0"/>
        <w:spacing w:line="360" w:lineRule="auto"/>
        <w:jc w:val="both"/>
        <w:rPr>
          <w:rFonts w:hint="eastAsia" w:ascii="仿宋" w:hAnsi="仿宋" w:eastAsia="仿宋" w:cs="仿宋"/>
          <w:b/>
          <w:color w:val="auto"/>
          <w:sz w:val="28"/>
          <w:szCs w:val="28"/>
        </w:rPr>
      </w:pPr>
    </w:p>
    <w:p w14:paraId="76AE7366">
      <w:pPr>
        <w:pStyle w:val="8"/>
        <w:snapToGrid w:val="0"/>
        <w:spacing w:line="360" w:lineRule="auto"/>
        <w:jc w:val="both"/>
        <w:rPr>
          <w:rFonts w:hint="eastAsia" w:ascii="仿宋" w:hAnsi="仿宋" w:eastAsia="仿宋" w:cs="仿宋"/>
          <w:color w:val="auto"/>
          <w:sz w:val="28"/>
          <w:szCs w:val="28"/>
        </w:rPr>
      </w:pPr>
      <w:r>
        <w:rPr>
          <w:rFonts w:hint="eastAsia" w:ascii="仿宋" w:hAnsi="仿宋" w:eastAsia="仿宋" w:cs="仿宋"/>
          <w:b/>
          <w:color w:val="auto"/>
          <w:sz w:val="28"/>
          <w:szCs w:val="28"/>
        </w:rPr>
        <w:t>主要商务要求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05"/>
        <w:gridCol w:w="6601"/>
      </w:tblGrid>
      <w:tr w14:paraId="3D9CD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05" w:type="dxa"/>
            <w:vAlign w:val="center"/>
          </w:tcPr>
          <w:p w14:paraId="705A5975">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标的提供的时间</w:t>
            </w:r>
          </w:p>
        </w:tc>
        <w:tc>
          <w:tcPr>
            <w:tcW w:w="6601" w:type="dxa"/>
            <w:vAlign w:val="center"/>
          </w:tcPr>
          <w:p w14:paraId="446DDD01">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自合同签订生效之日起贰年</w:t>
            </w:r>
            <w:r>
              <w:rPr>
                <w:rFonts w:hint="eastAsia" w:ascii="仿宋" w:hAnsi="仿宋" w:eastAsia="仿宋" w:cs="仿宋"/>
                <w:sz w:val="28"/>
                <w:szCs w:val="28"/>
                <w:lang w:eastAsia="zh-CN"/>
              </w:rPr>
              <w:t>（</w:t>
            </w:r>
            <w:r>
              <w:rPr>
                <w:rFonts w:hint="eastAsia" w:ascii="仿宋" w:hAnsi="仿宋" w:eastAsia="仿宋" w:cs="仿宋"/>
                <w:sz w:val="28"/>
                <w:szCs w:val="28"/>
              </w:rPr>
              <w:t>注：本项目采取一次招标两年内沿用、实行每满一年一考核一签合同的办法</w:t>
            </w:r>
            <w:r>
              <w:rPr>
                <w:rFonts w:hint="eastAsia" w:ascii="仿宋" w:hAnsi="仿宋" w:eastAsia="仿宋" w:cs="仿宋"/>
                <w:sz w:val="28"/>
                <w:szCs w:val="28"/>
                <w:lang w:eastAsia="zh-CN"/>
              </w:rPr>
              <w:t>）</w:t>
            </w:r>
            <w:r>
              <w:rPr>
                <w:rFonts w:hint="eastAsia" w:ascii="仿宋" w:hAnsi="仿宋" w:eastAsia="仿宋" w:cs="仿宋"/>
                <w:sz w:val="28"/>
                <w:szCs w:val="28"/>
              </w:rPr>
              <w:t>。</w:t>
            </w:r>
          </w:p>
        </w:tc>
      </w:tr>
      <w:tr w14:paraId="3F1FF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05" w:type="dxa"/>
            <w:vAlign w:val="center"/>
          </w:tcPr>
          <w:p w14:paraId="1476CA3B">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标的提供的地点</w:t>
            </w:r>
          </w:p>
        </w:tc>
        <w:tc>
          <w:tcPr>
            <w:tcW w:w="6601" w:type="dxa"/>
            <w:vAlign w:val="center"/>
          </w:tcPr>
          <w:p w14:paraId="2B537432">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东莞市石龙镇。</w:t>
            </w:r>
          </w:p>
        </w:tc>
      </w:tr>
      <w:tr w14:paraId="62EA0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05" w:type="dxa"/>
            <w:vAlign w:val="center"/>
          </w:tcPr>
          <w:p w14:paraId="691C8E6D">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付款方式</w:t>
            </w:r>
          </w:p>
        </w:tc>
        <w:tc>
          <w:tcPr>
            <w:tcW w:w="6601" w:type="dxa"/>
            <w:vAlign w:val="center"/>
          </w:tcPr>
          <w:p w14:paraId="0AA542C1">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1期：支付比例100%,</w:t>
            </w:r>
          </w:p>
          <w:p w14:paraId="7603ED94">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（1）中标供应商于每月5日前核对确认东莞市智慧养老服务平台（以下简称“平台”）上一个月月度账单，在审定无误后将其盖章上传至平台，提交给采购人进行审核；</w:t>
            </w:r>
          </w:p>
          <w:p w14:paraId="5BEBFA14">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 xml:space="preserve">（2）采购人在每月10日前，完成上一个月度服务账单审核，并将盖章版月度账单上传至平台作为结算依据； </w:t>
            </w:r>
          </w:p>
          <w:p w14:paraId="514193DE">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（3）采购人所在镇街财政主管部门按照专项资金管理规定在每月28日前，按采购人上一个月度账单，将上一个月结算金额拨付至中标供应商账户；</w:t>
            </w:r>
          </w:p>
          <w:p w14:paraId="0A01CC5B">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（4）每次付款中标人须向采购人提供合法合规的发票。</w:t>
            </w:r>
          </w:p>
        </w:tc>
      </w:tr>
      <w:tr w14:paraId="0DCCF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9" w:hRule="atLeast"/>
        </w:trPr>
        <w:tc>
          <w:tcPr>
            <w:tcW w:w="1705" w:type="dxa"/>
            <w:vAlign w:val="center"/>
          </w:tcPr>
          <w:p w14:paraId="2C0931E7">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验收要求</w:t>
            </w:r>
          </w:p>
        </w:tc>
        <w:tc>
          <w:tcPr>
            <w:tcW w:w="6601" w:type="dxa"/>
            <w:vAlign w:val="center"/>
          </w:tcPr>
          <w:p w14:paraId="17F8BCCE">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1期：按附件《石龙镇社会工作服务项目评估标准（1类标准）》（详见附件）</w:t>
            </w:r>
            <w:r>
              <w:rPr>
                <w:rFonts w:hint="eastAsia" w:ascii="仿宋" w:hAnsi="仿宋" w:eastAsia="仿宋" w:cs="仿宋"/>
                <w:sz w:val="28"/>
                <w:szCs w:val="28"/>
                <w:lang w:eastAsia="zh-CN"/>
              </w:rPr>
              <w:t>要求执行考核验收</w:t>
            </w:r>
          </w:p>
        </w:tc>
      </w:tr>
      <w:tr w14:paraId="783B5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05" w:type="dxa"/>
            <w:vAlign w:val="center"/>
          </w:tcPr>
          <w:p w14:paraId="4BDF7C96">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履约保证金</w:t>
            </w:r>
          </w:p>
        </w:tc>
        <w:tc>
          <w:tcPr>
            <w:tcW w:w="6601" w:type="dxa"/>
            <w:vAlign w:val="center"/>
          </w:tcPr>
          <w:p w14:paraId="1F74AA93">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不收取</w:t>
            </w:r>
          </w:p>
        </w:tc>
      </w:tr>
      <w:tr w14:paraId="620AA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05" w:type="dxa"/>
            <w:vAlign w:val="center"/>
          </w:tcPr>
          <w:p w14:paraId="4FD3BE89">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其他</w:t>
            </w:r>
          </w:p>
        </w:tc>
        <w:tc>
          <w:tcPr>
            <w:tcW w:w="6601" w:type="dxa"/>
            <w:vAlign w:val="center"/>
          </w:tcPr>
          <w:p w14:paraId="0B4E9C1B">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本项目不对价格部分进行评审，建议投标人报价以预算金额进行填写。价格</w:t>
            </w:r>
            <w:r>
              <w:rPr>
                <w:rFonts w:hint="eastAsia" w:ascii="仿宋" w:hAnsi="仿宋" w:eastAsia="仿宋" w:cs="仿宋"/>
                <w:sz w:val="28"/>
                <w:szCs w:val="28"/>
              </w:rPr>
              <w:t>包含完成本次采购所有服务内容的费用，包括但不限于人力成本、服务业务成本、管理费及合同实施过程中应预见和不可预见的全部费用；中标人不得以任何理由追加其他费用</w:t>
            </w:r>
            <w:r>
              <w:rPr>
                <w:rFonts w:hint="eastAsia" w:ascii="仿宋" w:hAnsi="仿宋" w:eastAsia="仿宋" w:cs="仿宋"/>
                <w:sz w:val="28"/>
                <w:szCs w:val="28"/>
                <w:lang w:eastAsia="zh-CN"/>
              </w:rPr>
              <w:t>。</w:t>
            </w:r>
          </w:p>
          <w:p w14:paraId="461B5093">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本项目采购预算由两部分组成：</w:t>
            </w:r>
          </w:p>
          <w:p w14:paraId="0F686292">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（1）石龙镇红棉长者服务中心、中山西社区综合养老服务中心</w:t>
            </w:r>
            <w:r>
              <w:rPr>
                <w:rFonts w:hint="eastAsia" w:ascii="仿宋" w:hAnsi="仿宋" w:eastAsia="仿宋" w:cs="仿宋"/>
                <w:sz w:val="28"/>
                <w:szCs w:val="28"/>
                <w:lang w:val="en-US" w:eastAsia="zh-CN"/>
              </w:rPr>
              <w:t>运营</w:t>
            </w:r>
            <w:r>
              <w:rPr>
                <w:rFonts w:hint="eastAsia" w:ascii="仿宋" w:hAnsi="仿宋" w:eastAsia="仿宋" w:cs="仿宋"/>
                <w:sz w:val="28"/>
                <w:szCs w:val="28"/>
                <w:lang w:eastAsia="zh-CN"/>
              </w:rPr>
              <w:t>项目预算：固定为715,800.00</w:t>
            </w:r>
            <w:r>
              <w:rPr>
                <w:rFonts w:hint="eastAsia" w:ascii="仿宋" w:hAnsi="仿宋" w:eastAsia="仿宋" w:cs="仿宋"/>
                <w:sz w:val="28"/>
                <w:szCs w:val="28"/>
              </w:rPr>
              <w:t>元/年</w:t>
            </w:r>
            <w:r>
              <w:rPr>
                <w:rFonts w:hint="eastAsia" w:ascii="仿宋" w:hAnsi="仿宋" w:eastAsia="仿宋" w:cs="仿宋"/>
                <w:sz w:val="28"/>
                <w:szCs w:val="28"/>
                <w:lang w:eastAsia="zh-CN"/>
              </w:rPr>
              <w:t>,两年为1,431,600.00元；</w:t>
            </w:r>
          </w:p>
          <w:p w14:paraId="16906605">
            <w:pPr>
              <w:pStyle w:val="8"/>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（2）石龙镇居家养老服务项目预算：1,100,000.00元/年，</w:t>
            </w:r>
            <w:r>
              <w:rPr>
                <w:rFonts w:hint="eastAsia" w:ascii="仿宋" w:hAnsi="仿宋" w:eastAsia="仿宋" w:cs="仿宋"/>
                <w:sz w:val="28"/>
                <w:szCs w:val="28"/>
              </w:rPr>
              <w:t>两年为2,200,000</w:t>
            </w:r>
            <w:r>
              <w:rPr>
                <w:rFonts w:hint="eastAsia" w:ascii="仿宋" w:hAnsi="仿宋" w:eastAsia="仿宋" w:cs="仿宋"/>
                <w:sz w:val="28"/>
                <w:szCs w:val="28"/>
                <w:lang w:eastAsia="zh-CN"/>
              </w:rPr>
              <w:t>.00</w:t>
            </w:r>
            <w:r>
              <w:rPr>
                <w:rFonts w:hint="eastAsia" w:ascii="仿宋" w:hAnsi="仿宋" w:eastAsia="仿宋" w:cs="仿宋"/>
                <w:sz w:val="28"/>
                <w:szCs w:val="28"/>
              </w:rPr>
              <w:t>元</w:t>
            </w:r>
            <w:r>
              <w:rPr>
                <w:rFonts w:hint="eastAsia" w:ascii="仿宋" w:hAnsi="仿宋" w:eastAsia="仿宋" w:cs="仿宋"/>
                <w:sz w:val="28"/>
                <w:szCs w:val="28"/>
                <w:lang w:eastAsia="zh-CN"/>
              </w:rPr>
              <w:t>。居家养老服务对象的资助标准如下：①经评估属于重度失能的，按照每人每月720元的标准提供居家养老服务；②经评估属于中度失能的，按照每人每月480元的标准提供居家养老服务；③经评估属于轻度失能或能力完好的，按照每人每月360元的标准提供居家养老服务。</w:t>
            </w:r>
          </w:p>
        </w:tc>
      </w:tr>
    </w:tbl>
    <w:p w14:paraId="379899F2">
      <w:pPr>
        <w:rPr>
          <w:rFonts w:hint="eastAsia" w:asciiTheme="minorHAnsi" w:hAnsiTheme="minorHAnsi" w:eastAsiaTheme="minorEastAsia" w:cstheme="minorBidi"/>
          <w:kern w:val="2"/>
          <w:sz w:val="21"/>
          <w:szCs w:val="24"/>
          <w:lang w:val="en-US" w:eastAsia="zh-CN" w:bidi="ar-SA"/>
        </w:rPr>
      </w:pPr>
    </w:p>
    <w:p w14:paraId="2A712725">
      <w:pPr>
        <w:rPr>
          <w:rFonts w:hint="eastAsia" w:ascii="仿宋" w:hAnsi="仿宋" w:eastAsia="仿宋" w:cs="仿宋"/>
          <w:b/>
          <w:color w:val="auto"/>
          <w:sz w:val="28"/>
          <w:szCs w:val="28"/>
        </w:rPr>
      </w:pPr>
      <w:r>
        <w:rPr>
          <w:rFonts w:hint="eastAsia" w:ascii="仿宋" w:hAnsi="仿宋" w:eastAsia="仿宋" w:cs="仿宋"/>
          <w:b/>
          <w:color w:val="auto"/>
          <w:sz w:val="28"/>
          <w:szCs w:val="28"/>
        </w:rPr>
        <w:br w:type="page"/>
      </w:r>
    </w:p>
    <w:p w14:paraId="59426353">
      <w:pPr>
        <w:pStyle w:val="8"/>
        <w:snapToGrid w:val="0"/>
        <w:spacing w:line="360" w:lineRule="auto"/>
        <w:rPr>
          <w:rFonts w:hint="eastAsia" w:ascii="仿宋" w:hAnsi="仿宋" w:eastAsia="仿宋" w:cs="仿宋"/>
          <w:color w:val="auto"/>
          <w:sz w:val="28"/>
          <w:szCs w:val="28"/>
        </w:rPr>
      </w:pPr>
      <w:r>
        <w:rPr>
          <w:rFonts w:hint="eastAsia" w:ascii="仿宋" w:hAnsi="仿宋" w:eastAsia="仿宋" w:cs="仿宋"/>
          <w:b/>
          <w:color w:val="auto"/>
          <w:sz w:val="28"/>
          <w:szCs w:val="28"/>
        </w:rPr>
        <w:t>技术标准与要求</w:t>
      </w:r>
    </w:p>
    <w:p w14:paraId="384A6A08">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一、具体项目内容：</w:t>
      </w:r>
    </w:p>
    <w:p w14:paraId="40843D16">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w:t>
      </w:r>
      <w:r>
        <w:rPr>
          <w:rFonts w:hint="eastAsia" w:ascii="仿宋" w:hAnsi="仿宋" w:eastAsia="仿宋" w:cs="仿宋"/>
          <w:b/>
          <w:sz w:val="28"/>
          <w:szCs w:val="28"/>
        </w:rPr>
        <w:t>石龙镇红棉长者服务中心、中山西社区综合养老服务中心运营项目</w:t>
      </w:r>
    </w:p>
    <w:p w14:paraId="2A99697B">
      <w:pPr>
        <w:pStyle w:val="8"/>
        <w:keepNext w:val="0"/>
        <w:keepLines w:val="0"/>
        <w:pageBreakBefore w:val="0"/>
        <w:kinsoku/>
        <w:wordWrap/>
        <w:overflowPunct/>
        <w:topLinePunct w:val="0"/>
        <w:autoSpaceDE/>
        <w:autoSpaceDN/>
        <w:bidi w:val="0"/>
        <w:adjustRightInd/>
        <w:snapToGrid w:val="0"/>
        <w:spacing w:line="360" w:lineRule="auto"/>
        <w:ind w:firstLine="562" w:firstLineChars="200"/>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1.1.1</w:t>
      </w:r>
      <w:r>
        <w:rPr>
          <w:rFonts w:hint="eastAsia" w:ascii="仿宋" w:hAnsi="仿宋" w:eastAsia="仿宋" w:cs="仿宋"/>
          <w:b/>
          <w:sz w:val="28"/>
          <w:szCs w:val="28"/>
        </w:rPr>
        <w:t>购买服务金额</w:t>
      </w:r>
    </w:p>
    <w:tbl>
      <w:tblPr>
        <w:tblStyle w:val="5"/>
        <w:tblW w:w="8085"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52"/>
        <w:gridCol w:w="3933"/>
      </w:tblGrid>
      <w:tr w14:paraId="6EC1C8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1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41D914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项目名称</w:t>
            </w:r>
          </w:p>
        </w:tc>
        <w:tc>
          <w:tcPr>
            <w:tcW w:w="393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229C32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采购金额</w:t>
            </w:r>
          </w:p>
        </w:tc>
      </w:tr>
      <w:tr w14:paraId="33489D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1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2418F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石龙红棉长者服务中心</w:t>
            </w:r>
            <w:r>
              <w:rPr>
                <w:rFonts w:hint="eastAsia" w:ascii="仿宋" w:hAnsi="仿宋" w:eastAsia="仿宋" w:cs="仿宋"/>
                <w:sz w:val="28"/>
                <w:szCs w:val="28"/>
                <w:lang w:eastAsia="zh-CN"/>
              </w:rPr>
              <w:t>、中山西社区综合养老服务中心</w:t>
            </w:r>
            <w:r>
              <w:rPr>
                <w:rFonts w:hint="eastAsia" w:ascii="仿宋" w:hAnsi="仿宋" w:eastAsia="仿宋" w:cs="仿宋"/>
                <w:sz w:val="28"/>
                <w:szCs w:val="28"/>
                <w:lang w:val="en-US" w:eastAsia="zh-CN"/>
              </w:rPr>
              <w:t>运营</w:t>
            </w:r>
            <w:r>
              <w:rPr>
                <w:rFonts w:hint="eastAsia" w:ascii="仿宋" w:hAnsi="仿宋" w:eastAsia="仿宋" w:cs="仿宋"/>
                <w:sz w:val="28"/>
                <w:szCs w:val="28"/>
              </w:rPr>
              <w:t>项目</w:t>
            </w:r>
          </w:p>
        </w:tc>
        <w:tc>
          <w:tcPr>
            <w:tcW w:w="39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9EA984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715,800</w:t>
            </w:r>
            <w:r>
              <w:rPr>
                <w:rFonts w:hint="eastAsia" w:ascii="仿宋" w:hAnsi="仿宋" w:eastAsia="仿宋" w:cs="仿宋"/>
                <w:sz w:val="28"/>
                <w:szCs w:val="28"/>
              </w:rPr>
              <w:t>元/年</w:t>
            </w:r>
          </w:p>
          <w:p w14:paraId="2FF4927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两年总预算为</w:t>
            </w:r>
            <w:r>
              <w:rPr>
                <w:rFonts w:hint="eastAsia" w:ascii="仿宋" w:hAnsi="仿宋" w:eastAsia="仿宋" w:cs="仿宋"/>
                <w:sz w:val="28"/>
                <w:szCs w:val="28"/>
                <w:lang w:eastAsia="zh-CN"/>
              </w:rPr>
              <w:t>1,431,600</w:t>
            </w:r>
            <w:r>
              <w:rPr>
                <w:rFonts w:hint="eastAsia" w:ascii="仿宋" w:hAnsi="仿宋" w:eastAsia="仿宋" w:cs="仿宋"/>
                <w:sz w:val="28"/>
                <w:szCs w:val="28"/>
              </w:rPr>
              <w:t>元</w:t>
            </w:r>
          </w:p>
        </w:tc>
      </w:tr>
    </w:tbl>
    <w:p w14:paraId="3EFA8936">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1.1.2</w:t>
      </w:r>
      <w:r>
        <w:rPr>
          <w:rFonts w:hint="eastAsia" w:ascii="仿宋" w:hAnsi="仿宋" w:eastAsia="仿宋" w:cs="仿宋"/>
          <w:b/>
          <w:sz w:val="28"/>
          <w:szCs w:val="28"/>
        </w:rPr>
        <w:t>服务目的</w:t>
      </w:r>
    </w:p>
    <w:p w14:paraId="679EC01B">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1.1.2.1 </w:t>
      </w:r>
      <w:r>
        <w:rPr>
          <w:rFonts w:hint="eastAsia" w:ascii="仿宋" w:hAnsi="仿宋" w:eastAsia="仿宋" w:cs="仿宋"/>
          <w:sz w:val="28"/>
          <w:szCs w:val="28"/>
        </w:rPr>
        <w:t>以人为本，因应长者的需要及专长，提供适切的社区支援、文娱、康乐服务，协助长者解除生活的障碍，丰富精神文化生活，继而发挥个人潜能及融入社会，发展其健康快乐的</w:t>
      </w:r>
      <w:bookmarkStart w:id="4" w:name="_GoBack"/>
      <w:bookmarkEnd w:id="4"/>
      <w:r>
        <w:rPr>
          <w:rFonts w:hint="eastAsia" w:ascii="仿宋" w:hAnsi="仿宋" w:eastAsia="仿宋" w:cs="仿宋"/>
          <w:sz w:val="28"/>
          <w:szCs w:val="28"/>
        </w:rPr>
        <w:t>晚年生活方式；</w:t>
      </w:r>
    </w:p>
    <w:p w14:paraId="7FFFBC30">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1.1.2.2 </w:t>
      </w:r>
      <w:r>
        <w:rPr>
          <w:rFonts w:hint="eastAsia" w:ascii="仿宋" w:hAnsi="仿宋" w:eastAsia="仿宋" w:cs="仿宋"/>
          <w:sz w:val="28"/>
          <w:szCs w:val="28"/>
        </w:rPr>
        <w:t>以家庭为本，为护老照顾者提供相关支援服务，协助其照顾长者，建立家庭支持网络，为长者提供良好的生活环境；</w:t>
      </w:r>
    </w:p>
    <w:p w14:paraId="3F6FBEA5">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1.1.2.3 </w:t>
      </w:r>
      <w:r>
        <w:rPr>
          <w:rFonts w:hint="eastAsia" w:ascii="仿宋" w:hAnsi="仿宋" w:eastAsia="仿宋" w:cs="仿宋"/>
          <w:sz w:val="28"/>
          <w:szCs w:val="28"/>
        </w:rPr>
        <w:t>以社区为本，根据社区之独特性，整合社会资源，为社区长者提供资源及社会融入平台，营造敬老爱老的社会文化氛围。</w:t>
      </w:r>
    </w:p>
    <w:p w14:paraId="368537DE">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1.1.3</w:t>
      </w:r>
      <w:r>
        <w:rPr>
          <w:rFonts w:hint="eastAsia" w:ascii="仿宋" w:hAnsi="仿宋" w:eastAsia="仿宋" w:cs="仿宋"/>
          <w:b/>
          <w:sz w:val="28"/>
          <w:szCs w:val="28"/>
        </w:rPr>
        <w:t>服务群体</w:t>
      </w:r>
    </w:p>
    <w:p w14:paraId="28642E6B">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1.1.3.1 </w:t>
      </w:r>
      <w:r>
        <w:rPr>
          <w:rFonts w:hint="eastAsia" w:ascii="仿宋" w:hAnsi="仿宋" w:eastAsia="仿宋" w:cs="仿宋"/>
          <w:sz w:val="28"/>
          <w:szCs w:val="28"/>
        </w:rPr>
        <w:t>石龙镇辖区内六十岁或以上之老年人（含三大社区七条村），约14000人；</w:t>
      </w:r>
    </w:p>
    <w:p w14:paraId="1E222B2D">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1.1.3.2 </w:t>
      </w:r>
      <w:r>
        <w:rPr>
          <w:rFonts w:hint="eastAsia" w:ascii="仿宋" w:hAnsi="仿宋" w:eastAsia="仿宋" w:cs="仿宋"/>
          <w:sz w:val="28"/>
          <w:szCs w:val="28"/>
        </w:rPr>
        <w:t>养老护理员、长者家属等照顾老年人的人群，约1000人；</w:t>
      </w:r>
    </w:p>
    <w:p w14:paraId="3F41C585">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1.1.4</w:t>
      </w:r>
      <w:r>
        <w:rPr>
          <w:rFonts w:hint="eastAsia" w:ascii="仿宋" w:hAnsi="仿宋" w:eastAsia="仿宋" w:cs="仿宋"/>
          <w:b/>
          <w:sz w:val="28"/>
          <w:szCs w:val="28"/>
        </w:rPr>
        <w:t>服务内容</w:t>
      </w:r>
    </w:p>
    <w:p w14:paraId="1C91ABC3">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以石龙镇红棉长者服务中心</w:t>
      </w:r>
      <w:r>
        <w:rPr>
          <w:rFonts w:hint="eastAsia" w:ascii="仿宋" w:hAnsi="仿宋" w:eastAsia="仿宋" w:cs="仿宋"/>
          <w:sz w:val="28"/>
          <w:szCs w:val="28"/>
          <w:lang w:eastAsia="zh-CN"/>
        </w:rPr>
        <w:t>、中山西社区综合养老服务中心</w:t>
      </w:r>
      <w:r>
        <w:rPr>
          <w:rFonts w:hint="eastAsia" w:ascii="仿宋" w:hAnsi="仿宋" w:eastAsia="仿宋" w:cs="仿宋"/>
          <w:sz w:val="28"/>
          <w:szCs w:val="28"/>
        </w:rPr>
        <w:t>为社区养老服务阵地，协助发挥镇综合养老服务中心统筹协调功能，并以镇村社区长者为主要服务群体，全面推进综合养老服务中心建设，承担全托、日托、上门服务、协调指导等综合服务功能，并采用“基本功能+功能辐射”的方式，发展“镇街－社区/村－家庭－老人”四级服务养老网络，培育发展养老人才队伍，为老年人提供专业化、便捷化、智慧化、人性化的养老服务。</w:t>
      </w:r>
    </w:p>
    <w:p w14:paraId="3B877AFB">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1.1.4.1 </w:t>
      </w:r>
      <w:r>
        <w:rPr>
          <w:rFonts w:hint="eastAsia" w:ascii="仿宋" w:hAnsi="仿宋" w:eastAsia="仿宋" w:cs="仿宋"/>
          <w:sz w:val="28"/>
          <w:szCs w:val="28"/>
        </w:rPr>
        <w:t>搭建并依托智能化信息管理平台，构建并完善石龙镇养老服务资源网络，发挥养老资源统筹功能。收集整理镇内老年人数据信息，形成可视化数据库；同时整合成立为老商家联盟，形成养老资源库；招募志愿者（根据服务需求组建青少年、初老志愿队伍等），收集老年人服务需求，最终通过养老服务资源整合，养老服务流程优化、养老服务方式创新以及养老服务监控的功能发挥，为老年人提供便捷可及、优质高效的居家社区养老服务。</w:t>
      </w:r>
    </w:p>
    <w:p w14:paraId="5961822A">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1.1.4.2 </w:t>
      </w:r>
      <w:r>
        <w:rPr>
          <w:rFonts w:hint="eastAsia" w:ascii="仿宋" w:hAnsi="仿宋" w:eastAsia="仿宋" w:cs="仿宋"/>
          <w:sz w:val="28"/>
          <w:szCs w:val="28"/>
        </w:rPr>
        <w:t>发展“镇街－村/社区－家庭－老人”四级服务养老网络。以红棉中心、中山西社区中心运营为阵地，协助全面推进综合养老服务中心建设，承担全托、日托、上门服务、协调指导等综合服务功能，作为中心站点辐射周边社区。在社区/村推进激活居家养老服务站建设，为村/社区老年人提供日间照料、膳食供应、护理保健、精神慰藉、辅具配置、居家上门等“一站式”养老服务。在有需要及有条件的住宅小区或家庭，充分发挥社区党组织的作用，探索家庭养老床位建设，依托有资质的第三方机构为有需要的家庭提供适老化改造、智能化管理，同时在采购人、长者及长者家属同意下链接专业养老服务（有资质的第三方机构）上门为居家老年人提供专业照护服务。最后根据老年人的个性化需求，整合个人资源网络，为其提供康复护理、生活照料、助餐配餐、医疗保健、精神慰藉、文化娱乐等服务。</w:t>
      </w:r>
    </w:p>
    <w:p w14:paraId="51E2C298">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1.1.4.3 </w:t>
      </w:r>
      <w:r>
        <w:rPr>
          <w:rFonts w:hint="eastAsia" w:ascii="仿宋" w:hAnsi="仿宋" w:eastAsia="仿宋" w:cs="仿宋"/>
          <w:sz w:val="28"/>
          <w:szCs w:val="28"/>
        </w:rPr>
        <w:t>采用“基本功能+功能辐射”的方式，以石龙镇红棉长者服务中心为主要阵地，</w:t>
      </w:r>
      <w:r>
        <w:rPr>
          <w:rFonts w:hint="eastAsia" w:ascii="仿宋" w:hAnsi="仿宋" w:eastAsia="仿宋" w:cs="仿宋"/>
          <w:color w:val="000000"/>
          <w:sz w:val="28"/>
          <w:szCs w:val="28"/>
        </w:rPr>
        <w:t>协助</w:t>
      </w:r>
      <w:r>
        <w:rPr>
          <w:rFonts w:hint="eastAsia" w:ascii="仿宋" w:hAnsi="仿宋" w:eastAsia="仿宋" w:cs="仿宋"/>
          <w:sz w:val="28"/>
          <w:szCs w:val="28"/>
        </w:rPr>
        <w:t>推进镇内日托服务中心、三大社区七条村的多元化为老服务，围绕基础服务+特色项目的形式，达致医养、康养、文养相结合，增加社区/村嵌入式、综合性、多功能、普惠性优质养老服务供给，满足老年人就近就便的养老服务需求，同时为辖区内的村/社区养老服务设施提供工作合作和服务辐射。</w:t>
      </w:r>
    </w:p>
    <w:p w14:paraId="325E819D">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1.1.4.4 </w:t>
      </w:r>
      <w:r>
        <w:rPr>
          <w:rFonts w:hint="eastAsia" w:ascii="仿宋" w:hAnsi="仿宋" w:eastAsia="仿宋" w:cs="仿宋"/>
          <w:sz w:val="28"/>
          <w:szCs w:val="28"/>
        </w:rPr>
        <w:t>发挥中心指导培训功能，培育发展一支多元化专业养老人才队伍。坚持以老年人服务需求为主，培育以社工、护工、医生、康复师、护理师、志愿者、老人家属照护者等人才组成的养老服务队伍，不断提升服务队伍综合素质，推进养老领域志愿者服务发展，并以综合养老服务中心为中心，对周边村社区养老服务设施提供工作指导以及能力培训服务。</w:t>
      </w:r>
    </w:p>
    <w:p w14:paraId="49BA6C64">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1.1.4.5 </w:t>
      </w:r>
      <w:r>
        <w:rPr>
          <w:rFonts w:hint="eastAsia" w:ascii="仿宋" w:hAnsi="仿宋" w:eastAsia="仿宋" w:cs="仿宋"/>
          <w:sz w:val="28"/>
          <w:szCs w:val="28"/>
        </w:rPr>
        <w:t>研发为老服务工具库。通过服务经验总结与参观交流学习，研发一系列包含认知训练道具、康复理疗工具包、长者适老化辅具盒、居家养老上门护理包等长者服务工具库，通过中心护老资源阁的展示与宣讲结合线下村/社区应用推广方式，为长者日常生活得到个性化、智能化、便捷化提供指引与支持。</w:t>
      </w:r>
    </w:p>
    <w:p w14:paraId="0AA1EF94">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1.1.4.6 </w:t>
      </w:r>
      <w:r>
        <w:rPr>
          <w:rFonts w:hint="eastAsia" w:ascii="仿宋" w:hAnsi="仿宋" w:eastAsia="仿宋" w:cs="仿宋"/>
          <w:sz w:val="28"/>
          <w:szCs w:val="28"/>
        </w:rPr>
        <w:t>协助开展石龙镇综合养老服务中心（日托服务）以社区照顾的服务精神，根据镇内老年人实际情况及其服务需求，以会员制的形式，为镇内自理、半自理且日间需要照料的老年人提供个人照顾、保健康复、膳食、日托及社交康乐活动等菜单式服务，利用社区周边资源打造文娱文体一体化特色服务（按需），以让老年人得到适切的照顾，协助其保持身心健康，改善其生活质量，让长者在社区安享晚年。</w:t>
      </w:r>
    </w:p>
    <w:p w14:paraId="262182FB">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1.1.4.7 投标人</w:t>
      </w:r>
      <w:r>
        <w:rPr>
          <w:rFonts w:hint="eastAsia" w:ascii="仿宋" w:hAnsi="仿宋" w:eastAsia="仿宋" w:cs="仿宋"/>
          <w:sz w:val="28"/>
          <w:szCs w:val="28"/>
        </w:rPr>
        <w:t>提供的相关服务内容应根据省、市、镇最新的养老政策及要求进行调整并开展工作</w:t>
      </w:r>
    </w:p>
    <w:p w14:paraId="4C5EB6B7">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1.1.5</w:t>
      </w:r>
      <w:r>
        <w:rPr>
          <w:rFonts w:hint="eastAsia" w:ascii="仿宋" w:hAnsi="仿宋" w:eastAsia="仿宋" w:cs="仿宋"/>
          <w:b/>
          <w:sz w:val="28"/>
          <w:szCs w:val="28"/>
        </w:rPr>
        <w:t>服务指标（含石龙红棉长者服务中心</w:t>
      </w:r>
      <w:r>
        <w:rPr>
          <w:rFonts w:hint="eastAsia" w:ascii="仿宋" w:hAnsi="仿宋" w:eastAsia="仿宋" w:cs="仿宋"/>
          <w:b/>
          <w:sz w:val="28"/>
          <w:szCs w:val="28"/>
          <w:lang w:eastAsia="zh-CN"/>
        </w:rPr>
        <w:t>、</w:t>
      </w:r>
      <w:r>
        <w:rPr>
          <w:rFonts w:hint="eastAsia" w:ascii="仿宋" w:hAnsi="仿宋" w:eastAsia="仿宋" w:cs="仿宋"/>
          <w:b/>
          <w:sz w:val="28"/>
          <w:szCs w:val="28"/>
        </w:rPr>
        <w:t>中山西社区综合服务养老中心指标）（两年指标）</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443"/>
        <w:gridCol w:w="2793"/>
        <w:gridCol w:w="2088"/>
      </w:tblGrid>
      <w:tr w14:paraId="7F39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0" w:type="dxa"/>
            <w:tcMar>
              <w:top w:w="0" w:type="dxa"/>
              <w:left w:w="105" w:type="dxa"/>
              <w:bottom w:w="0" w:type="dxa"/>
              <w:right w:w="105" w:type="dxa"/>
            </w:tcMar>
            <w:vAlign w:val="center"/>
          </w:tcPr>
          <w:p w14:paraId="1DC0767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序号</w:t>
            </w:r>
          </w:p>
        </w:tc>
        <w:tc>
          <w:tcPr>
            <w:tcW w:w="2443" w:type="dxa"/>
            <w:tcMar>
              <w:top w:w="0" w:type="dxa"/>
              <w:left w:w="105" w:type="dxa"/>
              <w:bottom w:w="0" w:type="dxa"/>
              <w:right w:w="105" w:type="dxa"/>
            </w:tcMar>
            <w:vAlign w:val="center"/>
          </w:tcPr>
          <w:p w14:paraId="4B286FE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服务协议指标</w:t>
            </w:r>
          </w:p>
        </w:tc>
        <w:tc>
          <w:tcPr>
            <w:tcW w:w="2793" w:type="dxa"/>
            <w:tcMar>
              <w:top w:w="0" w:type="dxa"/>
              <w:left w:w="105" w:type="dxa"/>
              <w:bottom w:w="0" w:type="dxa"/>
              <w:right w:w="105" w:type="dxa"/>
            </w:tcMar>
            <w:vAlign w:val="center"/>
          </w:tcPr>
          <w:p w14:paraId="0B5F598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协议数</w:t>
            </w:r>
          </w:p>
        </w:tc>
        <w:tc>
          <w:tcPr>
            <w:tcW w:w="2088" w:type="dxa"/>
            <w:tcMar>
              <w:top w:w="0" w:type="dxa"/>
              <w:left w:w="105" w:type="dxa"/>
              <w:bottom w:w="0" w:type="dxa"/>
              <w:right w:w="105" w:type="dxa"/>
            </w:tcMar>
            <w:vAlign w:val="center"/>
          </w:tcPr>
          <w:p w14:paraId="10E6964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备注</w:t>
            </w:r>
          </w:p>
        </w:tc>
      </w:tr>
      <w:tr w14:paraId="01A7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61F68B4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2443" w:type="dxa"/>
            <w:tcMar>
              <w:top w:w="0" w:type="dxa"/>
              <w:left w:w="105" w:type="dxa"/>
              <w:bottom w:w="0" w:type="dxa"/>
              <w:right w:w="105" w:type="dxa"/>
            </w:tcMar>
            <w:vAlign w:val="center"/>
          </w:tcPr>
          <w:p w14:paraId="5C34C6B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个案</w:t>
            </w:r>
          </w:p>
        </w:tc>
        <w:tc>
          <w:tcPr>
            <w:tcW w:w="2793" w:type="dxa"/>
            <w:tcMar>
              <w:top w:w="0" w:type="dxa"/>
              <w:left w:w="105" w:type="dxa"/>
              <w:bottom w:w="0" w:type="dxa"/>
              <w:right w:w="105" w:type="dxa"/>
            </w:tcMar>
            <w:vAlign w:val="center"/>
          </w:tcPr>
          <w:p w14:paraId="664A93B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每年应新增5-10个</w:t>
            </w:r>
          </w:p>
        </w:tc>
        <w:tc>
          <w:tcPr>
            <w:tcW w:w="2088" w:type="dxa"/>
            <w:tcMar>
              <w:top w:w="0" w:type="dxa"/>
              <w:left w:w="105" w:type="dxa"/>
              <w:bottom w:w="0" w:type="dxa"/>
              <w:right w:w="105" w:type="dxa"/>
            </w:tcMar>
            <w:vAlign w:val="center"/>
          </w:tcPr>
          <w:p w14:paraId="5079E95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含当年跟进个案</w:t>
            </w:r>
          </w:p>
        </w:tc>
      </w:tr>
      <w:tr w14:paraId="26AD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60BB435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w:t>
            </w:r>
          </w:p>
        </w:tc>
        <w:tc>
          <w:tcPr>
            <w:tcW w:w="2443" w:type="dxa"/>
            <w:tcMar>
              <w:top w:w="0" w:type="dxa"/>
              <w:left w:w="105" w:type="dxa"/>
              <w:bottom w:w="0" w:type="dxa"/>
              <w:right w:w="105" w:type="dxa"/>
            </w:tcMar>
            <w:vAlign w:val="center"/>
          </w:tcPr>
          <w:p w14:paraId="5BE26FC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小组</w:t>
            </w:r>
          </w:p>
        </w:tc>
        <w:tc>
          <w:tcPr>
            <w:tcW w:w="2793" w:type="dxa"/>
            <w:tcMar>
              <w:top w:w="0" w:type="dxa"/>
              <w:left w:w="105" w:type="dxa"/>
              <w:bottom w:w="0" w:type="dxa"/>
              <w:right w:w="105" w:type="dxa"/>
            </w:tcMar>
            <w:vAlign w:val="center"/>
          </w:tcPr>
          <w:p w14:paraId="43D7753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20个</w:t>
            </w:r>
          </w:p>
        </w:tc>
        <w:tc>
          <w:tcPr>
            <w:tcW w:w="2088" w:type="dxa"/>
            <w:tcMar>
              <w:top w:w="0" w:type="dxa"/>
              <w:left w:w="105" w:type="dxa"/>
              <w:bottom w:w="0" w:type="dxa"/>
              <w:right w:w="105" w:type="dxa"/>
            </w:tcMar>
            <w:vAlign w:val="center"/>
          </w:tcPr>
          <w:p w14:paraId="6D0199A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059F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0922F48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w:t>
            </w:r>
          </w:p>
        </w:tc>
        <w:tc>
          <w:tcPr>
            <w:tcW w:w="2443" w:type="dxa"/>
            <w:tcMar>
              <w:top w:w="0" w:type="dxa"/>
              <w:left w:w="105" w:type="dxa"/>
              <w:bottom w:w="0" w:type="dxa"/>
              <w:right w:w="105" w:type="dxa"/>
            </w:tcMar>
            <w:vAlign w:val="center"/>
          </w:tcPr>
          <w:p w14:paraId="22C72AD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活动</w:t>
            </w:r>
          </w:p>
        </w:tc>
        <w:tc>
          <w:tcPr>
            <w:tcW w:w="2793" w:type="dxa"/>
            <w:tcMar>
              <w:top w:w="0" w:type="dxa"/>
              <w:left w:w="105" w:type="dxa"/>
              <w:bottom w:w="0" w:type="dxa"/>
              <w:right w:w="105" w:type="dxa"/>
            </w:tcMar>
            <w:vAlign w:val="center"/>
          </w:tcPr>
          <w:p w14:paraId="56E9810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40场次</w:t>
            </w:r>
          </w:p>
        </w:tc>
        <w:tc>
          <w:tcPr>
            <w:tcW w:w="2088" w:type="dxa"/>
            <w:tcMar>
              <w:top w:w="0" w:type="dxa"/>
              <w:left w:w="105" w:type="dxa"/>
              <w:bottom w:w="0" w:type="dxa"/>
              <w:right w:w="105" w:type="dxa"/>
            </w:tcMar>
            <w:vAlign w:val="center"/>
          </w:tcPr>
          <w:p w14:paraId="637782F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村社区全覆盖</w:t>
            </w:r>
          </w:p>
        </w:tc>
      </w:tr>
      <w:tr w14:paraId="3EEB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75EBD51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w:t>
            </w:r>
          </w:p>
        </w:tc>
        <w:tc>
          <w:tcPr>
            <w:tcW w:w="2443" w:type="dxa"/>
            <w:tcMar>
              <w:top w:w="0" w:type="dxa"/>
              <w:left w:w="105" w:type="dxa"/>
              <w:bottom w:w="0" w:type="dxa"/>
              <w:right w:w="105" w:type="dxa"/>
            </w:tcMar>
            <w:vAlign w:val="center"/>
          </w:tcPr>
          <w:p w14:paraId="2B270EC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咨询</w:t>
            </w:r>
          </w:p>
        </w:tc>
        <w:tc>
          <w:tcPr>
            <w:tcW w:w="2793" w:type="dxa"/>
            <w:tcMar>
              <w:top w:w="0" w:type="dxa"/>
              <w:left w:w="105" w:type="dxa"/>
              <w:bottom w:w="0" w:type="dxa"/>
              <w:right w:w="105" w:type="dxa"/>
            </w:tcMar>
            <w:vAlign w:val="center"/>
          </w:tcPr>
          <w:p w14:paraId="510EA4D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600人次</w:t>
            </w:r>
          </w:p>
        </w:tc>
        <w:tc>
          <w:tcPr>
            <w:tcW w:w="2088" w:type="dxa"/>
            <w:tcMar>
              <w:top w:w="0" w:type="dxa"/>
              <w:left w:w="105" w:type="dxa"/>
              <w:bottom w:w="0" w:type="dxa"/>
              <w:right w:w="105" w:type="dxa"/>
            </w:tcMar>
            <w:vAlign w:val="center"/>
          </w:tcPr>
          <w:p w14:paraId="0FA2CA1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0E64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3F0C6C7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w:t>
            </w:r>
          </w:p>
        </w:tc>
        <w:tc>
          <w:tcPr>
            <w:tcW w:w="2443" w:type="dxa"/>
            <w:tcMar>
              <w:top w:w="0" w:type="dxa"/>
              <w:left w:w="105" w:type="dxa"/>
              <w:bottom w:w="0" w:type="dxa"/>
              <w:right w:w="105" w:type="dxa"/>
            </w:tcMar>
            <w:vAlign w:val="center"/>
          </w:tcPr>
          <w:p w14:paraId="5CF61C9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志愿者服务小时</w:t>
            </w:r>
          </w:p>
        </w:tc>
        <w:tc>
          <w:tcPr>
            <w:tcW w:w="2793" w:type="dxa"/>
            <w:tcMar>
              <w:top w:w="0" w:type="dxa"/>
              <w:left w:w="105" w:type="dxa"/>
              <w:bottom w:w="0" w:type="dxa"/>
              <w:right w:w="105" w:type="dxa"/>
            </w:tcMar>
            <w:vAlign w:val="center"/>
          </w:tcPr>
          <w:p w14:paraId="0AE49A6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800小时</w:t>
            </w:r>
          </w:p>
        </w:tc>
        <w:tc>
          <w:tcPr>
            <w:tcW w:w="2088" w:type="dxa"/>
            <w:tcMar>
              <w:top w:w="0" w:type="dxa"/>
              <w:left w:w="105" w:type="dxa"/>
              <w:bottom w:w="0" w:type="dxa"/>
              <w:right w:w="105" w:type="dxa"/>
            </w:tcMar>
            <w:vAlign w:val="center"/>
          </w:tcPr>
          <w:p w14:paraId="1D68470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338B3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75C0FA9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w:t>
            </w:r>
          </w:p>
        </w:tc>
        <w:tc>
          <w:tcPr>
            <w:tcW w:w="2443" w:type="dxa"/>
            <w:tcMar>
              <w:top w:w="0" w:type="dxa"/>
              <w:left w:w="105" w:type="dxa"/>
              <w:bottom w:w="0" w:type="dxa"/>
              <w:right w:w="105" w:type="dxa"/>
            </w:tcMar>
            <w:vAlign w:val="center"/>
          </w:tcPr>
          <w:p w14:paraId="4640AA4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中心访问量</w:t>
            </w:r>
          </w:p>
        </w:tc>
        <w:tc>
          <w:tcPr>
            <w:tcW w:w="2793" w:type="dxa"/>
            <w:tcMar>
              <w:top w:w="0" w:type="dxa"/>
              <w:left w:w="105" w:type="dxa"/>
              <w:bottom w:w="0" w:type="dxa"/>
              <w:right w:w="105" w:type="dxa"/>
            </w:tcMar>
            <w:vAlign w:val="center"/>
          </w:tcPr>
          <w:p w14:paraId="12B6FEA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16000人次</w:t>
            </w:r>
          </w:p>
        </w:tc>
        <w:tc>
          <w:tcPr>
            <w:tcW w:w="2088" w:type="dxa"/>
            <w:tcMar>
              <w:top w:w="0" w:type="dxa"/>
              <w:left w:w="105" w:type="dxa"/>
              <w:bottom w:w="0" w:type="dxa"/>
              <w:right w:w="105" w:type="dxa"/>
            </w:tcMar>
            <w:vAlign w:val="center"/>
          </w:tcPr>
          <w:p w14:paraId="49DAC44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1A9A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58BD6B3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p>
        </w:tc>
        <w:tc>
          <w:tcPr>
            <w:tcW w:w="2443" w:type="dxa"/>
            <w:tcMar>
              <w:top w:w="0" w:type="dxa"/>
              <w:left w:w="105" w:type="dxa"/>
              <w:bottom w:w="0" w:type="dxa"/>
              <w:right w:w="105" w:type="dxa"/>
            </w:tcMar>
            <w:vAlign w:val="center"/>
          </w:tcPr>
          <w:p w14:paraId="4992557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接待来访</w:t>
            </w:r>
          </w:p>
        </w:tc>
        <w:tc>
          <w:tcPr>
            <w:tcW w:w="2793" w:type="dxa"/>
            <w:tcMar>
              <w:top w:w="0" w:type="dxa"/>
              <w:left w:w="105" w:type="dxa"/>
              <w:bottom w:w="0" w:type="dxa"/>
              <w:right w:w="105" w:type="dxa"/>
            </w:tcMar>
            <w:vAlign w:val="center"/>
          </w:tcPr>
          <w:p w14:paraId="2C9926D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6次</w:t>
            </w:r>
          </w:p>
        </w:tc>
        <w:tc>
          <w:tcPr>
            <w:tcW w:w="2088" w:type="dxa"/>
            <w:tcMar>
              <w:top w:w="0" w:type="dxa"/>
              <w:left w:w="105" w:type="dxa"/>
              <w:bottom w:w="0" w:type="dxa"/>
              <w:right w:w="105" w:type="dxa"/>
            </w:tcMar>
            <w:vAlign w:val="center"/>
          </w:tcPr>
          <w:p w14:paraId="337C1BF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根据实际情况而定</w:t>
            </w:r>
          </w:p>
        </w:tc>
      </w:tr>
      <w:tr w14:paraId="093C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6B9F653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w:t>
            </w:r>
          </w:p>
        </w:tc>
        <w:tc>
          <w:tcPr>
            <w:tcW w:w="2443" w:type="dxa"/>
            <w:tcMar>
              <w:top w:w="0" w:type="dxa"/>
              <w:left w:w="105" w:type="dxa"/>
              <w:bottom w:w="0" w:type="dxa"/>
              <w:right w:w="105" w:type="dxa"/>
            </w:tcMar>
            <w:vAlign w:val="center"/>
          </w:tcPr>
          <w:p w14:paraId="7C2F5F9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走访</w:t>
            </w:r>
          </w:p>
        </w:tc>
        <w:tc>
          <w:tcPr>
            <w:tcW w:w="2793" w:type="dxa"/>
            <w:tcMar>
              <w:top w:w="0" w:type="dxa"/>
              <w:left w:w="105" w:type="dxa"/>
              <w:bottom w:w="0" w:type="dxa"/>
              <w:right w:w="105" w:type="dxa"/>
            </w:tcMar>
            <w:vAlign w:val="center"/>
          </w:tcPr>
          <w:p w14:paraId="34F8D07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1000人次</w:t>
            </w:r>
          </w:p>
        </w:tc>
        <w:tc>
          <w:tcPr>
            <w:tcW w:w="2088" w:type="dxa"/>
            <w:tcMar>
              <w:top w:w="0" w:type="dxa"/>
              <w:left w:w="105" w:type="dxa"/>
              <w:bottom w:w="0" w:type="dxa"/>
              <w:right w:w="105" w:type="dxa"/>
            </w:tcMar>
            <w:vAlign w:val="center"/>
          </w:tcPr>
          <w:p w14:paraId="2C45485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75F6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285D50B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9</w:t>
            </w:r>
          </w:p>
        </w:tc>
        <w:tc>
          <w:tcPr>
            <w:tcW w:w="2443" w:type="dxa"/>
            <w:tcMar>
              <w:top w:w="0" w:type="dxa"/>
              <w:left w:w="105" w:type="dxa"/>
              <w:bottom w:w="0" w:type="dxa"/>
              <w:right w:w="105" w:type="dxa"/>
            </w:tcMar>
            <w:vAlign w:val="center"/>
          </w:tcPr>
          <w:p w14:paraId="511943E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简报</w:t>
            </w:r>
          </w:p>
        </w:tc>
        <w:tc>
          <w:tcPr>
            <w:tcW w:w="2793" w:type="dxa"/>
            <w:tcMar>
              <w:top w:w="0" w:type="dxa"/>
              <w:left w:w="105" w:type="dxa"/>
              <w:bottom w:w="0" w:type="dxa"/>
              <w:right w:w="105" w:type="dxa"/>
            </w:tcMar>
            <w:vAlign w:val="center"/>
          </w:tcPr>
          <w:p w14:paraId="341161F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80篇</w:t>
            </w:r>
          </w:p>
        </w:tc>
        <w:tc>
          <w:tcPr>
            <w:tcW w:w="2088" w:type="dxa"/>
            <w:tcMar>
              <w:top w:w="0" w:type="dxa"/>
              <w:left w:w="105" w:type="dxa"/>
              <w:bottom w:w="0" w:type="dxa"/>
              <w:right w:w="105" w:type="dxa"/>
            </w:tcMar>
            <w:vAlign w:val="center"/>
          </w:tcPr>
          <w:p w14:paraId="16E5007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1409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09018E8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10</w:t>
            </w:r>
          </w:p>
        </w:tc>
        <w:tc>
          <w:tcPr>
            <w:tcW w:w="2443" w:type="dxa"/>
            <w:tcMar>
              <w:top w:w="0" w:type="dxa"/>
              <w:left w:w="105" w:type="dxa"/>
              <w:bottom w:w="0" w:type="dxa"/>
              <w:right w:w="105" w:type="dxa"/>
            </w:tcMar>
            <w:vAlign w:val="center"/>
          </w:tcPr>
          <w:p w14:paraId="671C0CB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服务质量会议</w:t>
            </w:r>
          </w:p>
        </w:tc>
        <w:tc>
          <w:tcPr>
            <w:tcW w:w="2793" w:type="dxa"/>
            <w:tcMar>
              <w:top w:w="0" w:type="dxa"/>
              <w:left w:w="105" w:type="dxa"/>
              <w:bottom w:w="0" w:type="dxa"/>
              <w:right w:w="105" w:type="dxa"/>
            </w:tcMar>
            <w:vAlign w:val="center"/>
          </w:tcPr>
          <w:p w14:paraId="0F7CEAB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24次</w:t>
            </w:r>
          </w:p>
        </w:tc>
        <w:tc>
          <w:tcPr>
            <w:tcW w:w="2088" w:type="dxa"/>
            <w:tcMar>
              <w:top w:w="0" w:type="dxa"/>
              <w:left w:w="105" w:type="dxa"/>
              <w:bottom w:w="0" w:type="dxa"/>
              <w:right w:w="105" w:type="dxa"/>
            </w:tcMar>
            <w:vAlign w:val="center"/>
          </w:tcPr>
          <w:p w14:paraId="4EED419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5F3F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3EA13E9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11</w:t>
            </w:r>
          </w:p>
        </w:tc>
        <w:tc>
          <w:tcPr>
            <w:tcW w:w="2443" w:type="dxa"/>
            <w:tcMar>
              <w:top w:w="0" w:type="dxa"/>
              <w:left w:w="105" w:type="dxa"/>
              <w:bottom w:w="0" w:type="dxa"/>
              <w:right w:w="105" w:type="dxa"/>
            </w:tcMar>
            <w:vAlign w:val="center"/>
          </w:tcPr>
          <w:p w14:paraId="0DF807E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宣传资料</w:t>
            </w:r>
          </w:p>
        </w:tc>
        <w:tc>
          <w:tcPr>
            <w:tcW w:w="2793" w:type="dxa"/>
            <w:tcMar>
              <w:top w:w="0" w:type="dxa"/>
              <w:left w:w="105" w:type="dxa"/>
              <w:bottom w:w="0" w:type="dxa"/>
              <w:right w:w="105" w:type="dxa"/>
            </w:tcMar>
            <w:vAlign w:val="center"/>
          </w:tcPr>
          <w:p w14:paraId="405788A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20份</w:t>
            </w:r>
          </w:p>
        </w:tc>
        <w:tc>
          <w:tcPr>
            <w:tcW w:w="2088" w:type="dxa"/>
            <w:tcMar>
              <w:top w:w="0" w:type="dxa"/>
              <w:left w:w="105" w:type="dxa"/>
              <w:bottom w:w="0" w:type="dxa"/>
              <w:right w:w="105" w:type="dxa"/>
            </w:tcMar>
            <w:vAlign w:val="center"/>
          </w:tcPr>
          <w:p w14:paraId="6E61576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含三折页、活动海报、册子、服务视频等</w:t>
            </w:r>
          </w:p>
        </w:tc>
      </w:tr>
      <w:tr w14:paraId="0F50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tcMar>
              <w:top w:w="0" w:type="dxa"/>
              <w:left w:w="105" w:type="dxa"/>
              <w:bottom w:w="0" w:type="dxa"/>
              <w:right w:w="105" w:type="dxa"/>
            </w:tcMar>
            <w:vAlign w:val="center"/>
          </w:tcPr>
          <w:p w14:paraId="166EDB5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12</w:t>
            </w:r>
          </w:p>
        </w:tc>
        <w:tc>
          <w:tcPr>
            <w:tcW w:w="2443" w:type="dxa"/>
            <w:tcMar>
              <w:top w:w="0" w:type="dxa"/>
              <w:left w:w="105" w:type="dxa"/>
              <w:bottom w:w="0" w:type="dxa"/>
              <w:right w:w="105" w:type="dxa"/>
            </w:tcMar>
            <w:vAlign w:val="center"/>
          </w:tcPr>
          <w:p w14:paraId="4E19AED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研究性案例</w:t>
            </w:r>
          </w:p>
        </w:tc>
        <w:tc>
          <w:tcPr>
            <w:tcW w:w="2793" w:type="dxa"/>
            <w:tcMar>
              <w:top w:w="0" w:type="dxa"/>
              <w:left w:w="105" w:type="dxa"/>
              <w:bottom w:w="0" w:type="dxa"/>
              <w:right w:w="105" w:type="dxa"/>
            </w:tcMar>
            <w:vAlign w:val="center"/>
          </w:tcPr>
          <w:p w14:paraId="41230E1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2篇</w:t>
            </w:r>
          </w:p>
        </w:tc>
        <w:tc>
          <w:tcPr>
            <w:tcW w:w="2088" w:type="dxa"/>
            <w:tcMar>
              <w:top w:w="0" w:type="dxa"/>
              <w:left w:w="105" w:type="dxa"/>
              <w:bottom w:w="0" w:type="dxa"/>
              <w:right w:w="105" w:type="dxa"/>
            </w:tcMar>
            <w:vAlign w:val="center"/>
          </w:tcPr>
          <w:p w14:paraId="18706C1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bl>
    <w:p w14:paraId="3C5B5EC5">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b/>
          <w:sz w:val="28"/>
          <w:szCs w:val="28"/>
        </w:rPr>
      </w:pPr>
      <w:r>
        <w:rPr>
          <w:rFonts w:hint="eastAsia" w:ascii="仿宋" w:hAnsi="仿宋" w:eastAsia="仿宋" w:cs="仿宋"/>
          <w:b/>
          <w:sz w:val="28"/>
          <w:szCs w:val="28"/>
        </w:rPr>
        <w:t>注：</w:t>
      </w:r>
    </w:p>
    <w:p w14:paraId="3017FABE">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b/>
          <w:sz w:val="28"/>
          <w:szCs w:val="28"/>
        </w:rPr>
      </w:pPr>
      <w:r>
        <w:rPr>
          <w:rFonts w:hint="eastAsia" w:ascii="仿宋" w:hAnsi="仿宋" w:eastAsia="仿宋" w:cs="仿宋"/>
          <w:b/>
          <w:sz w:val="28"/>
          <w:szCs w:val="28"/>
        </w:rPr>
        <w:t>①以上服务指标，采购人与中标人可根据实际，协商服务需求指标，并作相应调整。</w:t>
      </w:r>
    </w:p>
    <w:p w14:paraId="4D642C6D">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b/>
          <w:sz w:val="28"/>
          <w:szCs w:val="28"/>
        </w:rPr>
        <w:t>②中标人应及时更新并保存项目相关资料，定期整理上报采购人，未经采购人允许不得外借。</w:t>
      </w:r>
    </w:p>
    <w:p w14:paraId="207FD824">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b/>
          <w:sz w:val="28"/>
          <w:szCs w:val="28"/>
        </w:rPr>
      </w:pPr>
    </w:p>
    <w:p w14:paraId="39809E9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w:t>
      </w:r>
      <w:r>
        <w:rPr>
          <w:rFonts w:hint="eastAsia" w:ascii="仿宋" w:hAnsi="仿宋" w:eastAsia="仿宋" w:cs="仿宋"/>
          <w:b/>
          <w:sz w:val="28"/>
          <w:szCs w:val="28"/>
        </w:rPr>
        <w:t>石龙镇居家养老服务项目</w:t>
      </w:r>
    </w:p>
    <w:p w14:paraId="498819CE">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1.2.1</w:t>
      </w:r>
      <w:r>
        <w:rPr>
          <w:rFonts w:hint="eastAsia" w:ascii="仿宋" w:hAnsi="仿宋" w:eastAsia="仿宋" w:cs="仿宋"/>
          <w:b/>
          <w:sz w:val="28"/>
          <w:szCs w:val="28"/>
        </w:rPr>
        <w:t>购买服务队伍及金额</w:t>
      </w:r>
    </w:p>
    <w:tbl>
      <w:tblPr>
        <w:tblStyle w:val="5"/>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28"/>
        <w:gridCol w:w="3568"/>
        <w:gridCol w:w="3011"/>
      </w:tblGrid>
      <w:tr w14:paraId="0E5DB2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jc w:val="center"/>
        </w:trPr>
        <w:tc>
          <w:tcPr>
            <w:tcW w:w="16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F5EF75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项目名称</w:t>
            </w:r>
          </w:p>
        </w:tc>
        <w:tc>
          <w:tcPr>
            <w:tcW w:w="35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A53BB5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人员配置数量</w:t>
            </w:r>
          </w:p>
        </w:tc>
        <w:tc>
          <w:tcPr>
            <w:tcW w:w="301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148D2F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采购金额</w:t>
            </w:r>
          </w:p>
        </w:tc>
      </w:tr>
      <w:tr w14:paraId="4F0E39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6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2E5A8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石龙镇居家养老服务项目</w:t>
            </w:r>
          </w:p>
        </w:tc>
        <w:tc>
          <w:tcPr>
            <w:tcW w:w="35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E8A98F">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实际服务老人人数及服务情况</w:t>
            </w:r>
            <w:bookmarkStart w:id="0" w:name="OLE_LINK3"/>
            <w:bookmarkStart w:id="1" w:name="OLE_LINK4"/>
            <w:r>
              <w:rPr>
                <w:rFonts w:hint="eastAsia" w:ascii="仿宋" w:hAnsi="仿宋" w:eastAsia="仿宋" w:cs="仿宋"/>
                <w:sz w:val="28"/>
                <w:szCs w:val="28"/>
                <w:lang w:eastAsia="zh-CN"/>
              </w:rPr>
              <w:t>配备</w:t>
            </w:r>
            <w:r>
              <w:rPr>
                <w:rFonts w:hint="eastAsia" w:ascii="仿宋" w:hAnsi="仿宋" w:eastAsia="仿宋" w:cs="仿宋"/>
                <w:sz w:val="28"/>
                <w:szCs w:val="28"/>
              </w:rPr>
              <w:t>社会工作师、养老护理相关专业的服务人员</w:t>
            </w:r>
            <w:bookmarkEnd w:id="0"/>
            <w:bookmarkEnd w:id="1"/>
            <w:bookmarkStart w:id="2" w:name="OLE_LINK2"/>
            <w:bookmarkStart w:id="3" w:name="OLE_LINK1"/>
            <w:r>
              <w:rPr>
                <w:rFonts w:hint="eastAsia" w:ascii="仿宋" w:hAnsi="仿宋" w:eastAsia="仿宋" w:cs="仿宋"/>
                <w:sz w:val="28"/>
                <w:szCs w:val="28"/>
              </w:rPr>
              <w:t>，中标人须保证保质保量完成项目服务内容。</w:t>
            </w:r>
            <w:bookmarkEnd w:id="2"/>
            <w:bookmarkEnd w:id="3"/>
          </w:p>
          <w:p w14:paraId="7189BCE4">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561EB0F">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4F1C5AD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p>
        </w:tc>
        <w:tc>
          <w:tcPr>
            <w:tcW w:w="30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11EFA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约为1,100,000元/年</w:t>
            </w:r>
          </w:p>
          <w:p w14:paraId="4AE4581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两年总预算约为2,200,000元</w:t>
            </w:r>
          </w:p>
        </w:tc>
      </w:tr>
    </w:tbl>
    <w:p w14:paraId="0CC8F166">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1.2.2</w:t>
      </w:r>
      <w:r>
        <w:rPr>
          <w:rFonts w:hint="eastAsia" w:ascii="仿宋" w:hAnsi="仿宋" w:eastAsia="仿宋" w:cs="仿宋"/>
          <w:b/>
          <w:sz w:val="28"/>
          <w:szCs w:val="28"/>
        </w:rPr>
        <w:t>服务目的</w:t>
      </w:r>
    </w:p>
    <w:p w14:paraId="048504B0">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color w:val="000000"/>
          <w:sz w:val="28"/>
          <w:szCs w:val="28"/>
        </w:rPr>
        <w:t>遵循“党委领导、政府主导、保障基本、社会参与、市场运作、自愿选择、就近便利”的原则，立足实际，逐步建立起以家庭养老为核心、社区服务为依托、居家养老为基础、机构养老为补充的新型养老服务体系，做到居家养老服务全覆盖，提高老年人生活质量，构建和谐社会。</w:t>
      </w:r>
    </w:p>
    <w:p w14:paraId="573B593D">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color w:val="000000"/>
          <w:sz w:val="28"/>
          <w:szCs w:val="28"/>
          <w:lang w:eastAsia="zh-CN"/>
        </w:rPr>
        <w:t>1.2.3</w:t>
      </w:r>
      <w:r>
        <w:rPr>
          <w:rFonts w:hint="eastAsia" w:ascii="仿宋" w:hAnsi="仿宋" w:eastAsia="仿宋" w:cs="仿宋"/>
          <w:b/>
          <w:color w:val="000000"/>
          <w:sz w:val="28"/>
          <w:szCs w:val="28"/>
        </w:rPr>
        <w:t>服务群体</w:t>
      </w:r>
    </w:p>
    <w:p w14:paraId="5A79E698">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color w:val="000000"/>
          <w:sz w:val="28"/>
          <w:szCs w:val="28"/>
          <w:lang w:eastAsia="zh-CN"/>
        </w:rPr>
        <w:t xml:space="preserve">1.2.3.1 </w:t>
      </w:r>
      <w:r>
        <w:rPr>
          <w:rFonts w:hint="eastAsia" w:ascii="仿宋" w:hAnsi="仿宋" w:eastAsia="仿宋" w:cs="仿宋"/>
          <w:color w:val="000000"/>
          <w:sz w:val="28"/>
          <w:szCs w:val="28"/>
        </w:rPr>
        <w:t>具有东莞市石龙镇户籍（含三大社区七条村）且在东莞市行政区域内居住，符合以下情形之一的服务对象（约160人，须按照实际情况）：</w:t>
      </w:r>
    </w:p>
    <w:p w14:paraId="44654857">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A.年满60周岁及以上的重度失能老年人；</w:t>
      </w:r>
    </w:p>
    <w:p w14:paraId="336497D1">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B.年满70周岁及以上的中度失能老年人；</w:t>
      </w:r>
    </w:p>
    <w:p w14:paraId="3F79638F">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C.孤寡人员、计划生育特殊家庭、部分享受定期定量抚恤生活补助优抚对象中年满60周岁及以上的失能老年人；</w:t>
      </w:r>
    </w:p>
    <w:p w14:paraId="5F6C1159">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D.特困供养人员、低保家庭、低收入家庭中年满60周岁及以上的老年人。</w:t>
      </w:r>
    </w:p>
    <w:p w14:paraId="6FABE0F7">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1.2.3.2 </w:t>
      </w:r>
      <w:r>
        <w:rPr>
          <w:rFonts w:hint="eastAsia" w:ascii="仿宋" w:hAnsi="仿宋" w:eastAsia="仿宋" w:cs="仿宋"/>
          <w:sz w:val="28"/>
          <w:szCs w:val="28"/>
        </w:rPr>
        <w:t>护工、养老护理员、长者家属等照顾老年人的人群。</w:t>
      </w:r>
    </w:p>
    <w:p w14:paraId="5C371487">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1.2.3.3 </w:t>
      </w:r>
      <w:r>
        <w:rPr>
          <w:rFonts w:hint="eastAsia" w:ascii="仿宋" w:hAnsi="仿宋" w:eastAsia="仿宋" w:cs="仿宋"/>
          <w:sz w:val="28"/>
          <w:szCs w:val="28"/>
        </w:rPr>
        <w:t>有条件的园区、镇（街道）可根据辖区实际，适当拓宽资助对象范围，该类对象的服务费用由园区、镇（街道）自行解决。</w:t>
      </w:r>
    </w:p>
    <w:p w14:paraId="2EB68BA4">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1.2.4</w:t>
      </w:r>
      <w:r>
        <w:rPr>
          <w:rFonts w:hint="eastAsia" w:ascii="仿宋" w:hAnsi="仿宋" w:eastAsia="仿宋" w:cs="仿宋"/>
          <w:b/>
          <w:sz w:val="28"/>
          <w:szCs w:val="28"/>
        </w:rPr>
        <w:t>服务内容</w:t>
      </w:r>
    </w:p>
    <w:p w14:paraId="0D4C6435">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 xml:space="preserve">1.2.4.1 </w:t>
      </w:r>
      <w:r>
        <w:rPr>
          <w:rFonts w:hint="eastAsia" w:ascii="仿宋" w:hAnsi="仿宋" w:eastAsia="仿宋" w:cs="仿宋"/>
          <w:b/>
          <w:sz w:val="28"/>
          <w:szCs w:val="28"/>
        </w:rPr>
        <w:t>居家养老服务调研</w:t>
      </w:r>
    </w:p>
    <w:p w14:paraId="6D45FAB9">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社会组织参与居家养老服务项目时对符合条件的老人进行入户需求调查，按照需求调查样本分析居家养老服务需求。</w:t>
      </w:r>
    </w:p>
    <w:p w14:paraId="7EBBCDE0">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 xml:space="preserve">1.2.4.2 </w:t>
      </w:r>
      <w:r>
        <w:rPr>
          <w:rFonts w:hint="eastAsia" w:ascii="仿宋" w:hAnsi="仿宋" w:eastAsia="仿宋" w:cs="仿宋"/>
          <w:b/>
          <w:sz w:val="28"/>
          <w:szCs w:val="28"/>
        </w:rPr>
        <w:t>居家养老资源整合</w:t>
      </w:r>
    </w:p>
    <w:p w14:paraId="1B77A441">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对石龙镇有比较清楚的了解，并能列举资源地图供居家养老服务项目开展使用。在人员配置、社区资源等方面能较好的对项目进行支持。</w:t>
      </w:r>
    </w:p>
    <w:p w14:paraId="1F6D4A7F">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 xml:space="preserve">1.2.4.3 </w:t>
      </w:r>
      <w:r>
        <w:rPr>
          <w:rFonts w:hint="eastAsia" w:ascii="仿宋" w:hAnsi="仿宋" w:eastAsia="仿宋" w:cs="仿宋"/>
          <w:b/>
          <w:sz w:val="28"/>
          <w:szCs w:val="28"/>
        </w:rPr>
        <w:t>系统的宣传推广服务</w:t>
      </w:r>
    </w:p>
    <w:p w14:paraId="4FB91612">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开展居家养老服务宣传，对各社区老年人推广与宣传居家养老服务，让更多的老年人了解与接受此项服务；另外，通过对居家养老服务的包装与宣传，让更多的人士参与、关注此项服务，并对此项服务给予支持。</w:t>
      </w:r>
    </w:p>
    <w:p w14:paraId="1A4BA08A">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 xml:space="preserve">1.2.4.4 </w:t>
      </w:r>
      <w:r>
        <w:rPr>
          <w:rFonts w:hint="eastAsia" w:ascii="仿宋" w:hAnsi="仿宋" w:eastAsia="仿宋" w:cs="仿宋"/>
          <w:b/>
          <w:sz w:val="28"/>
          <w:szCs w:val="28"/>
        </w:rPr>
        <w:t>服务跟踪与支持系统</w:t>
      </w:r>
    </w:p>
    <w:p w14:paraId="7D8D6A65">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1.2.4.4.1 </w:t>
      </w:r>
      <w:r>
        <w:rPr>
          <w:rFonts w:hint="eastAsia" w:ascii="仿宋" w:hAnsi="仿宋" w:eastAsia="仿宋" w:cs="仿宋"/>
          <w:sz w:val="28"/>
          <w:szCs w:val="28"/>
        </w:rPr>
        <w:t>针对石龙镇居家养老服务质量评估与监察。定期由中心的工作人员组织对开展的居家养老服务质量进行抽查，并提出改善建议，持续提升服务质量。</w:t>
      </w:r>
    </w:p>
    <w:p w14:paraId="3E10BC1C">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1.2.4.4.2 </w:t>
      </w:r>
      <w:r>
        <w:rPr>
          <w:rFonts w:hint="eastAsia" w:ascii="仿宋" w:hAnsi="仿宋" w:eastAsia="仿宋" w:cs="仿宋"/>
          <w:sz w:val="28"/>
          <w:szCs w:val="28"/>
        </w:rPr>
        <w:t>建立居家养老服务信息平台，搭建石龙镇居家养老电话服务、网络信息服务系统，做好服务统计、资源共享、投诉建议等。</w:t>
      </w:r>
    </w:p>
    <w:p w14:paraId="379B7301">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1.2.4.4.3 </w:t>
      </w:r>
      <w:r>
        <w:rPr>
          <w:rFonts w:hint="eastAsia" w:ascii="仿宋" w:hAnsi="仿宋" w:eastAsia="仿宋" w:cs="仿宋"/>
          <w:sz w:val="28"/>
          <w:szCs w:val="28"/>
        </w:rPr>
        <w:t>针对居家养老项目服务人员开展定期的培训，如护理员、义工、社工关于老年人服务的系列培训。</w:t>
      </w:r>
    </w:p>
    <w:p w14:paraId="7B800AB2">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1.2.4.4.4 </w:t>
      </w:r>
      <w:r>
        <w:rPr>
          <w:rFonts w:hint="eastAsia" w:ascii="仿宋" w:hAnsi="仿宋" w:eastAsia="仿宋" w:cs="仿宋"/>
          <w:color w:val="000000"/>
          <w:sz w:val="28"/>
          <w:szCs w:val="28"/>
        </w:rPr>
        <w:t>社工服务。由本项目专业社工为项目服务对象及家属开展专业的个案、小组、社区活动服务（包括但不限于文娱活动、季度生日会、文化培养及兴趣类服务等），并定期为护理员开展康复理论及实操培训及专业督导工作。</w:t>
      </w:r>
    </w:p>
    <w:p w14:paraId="33A2B204">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1.2.4.4.5 </w:t>
      </w:r>
      <w:r>
        <w:rPr>
          <w:rFonts w:hint="eastAsia" w:ascii="仿宋" w:hAnsi="仿宋" w:eastAsia="仿宋" w:cs="仿宋"/>
          <w:sz w:val="28"/>
          <w:szCs w:val="28"/>
        </w:rPr>
        <w:t>做好居家养老服务的操作指引与制度化建设，制定服务标准，印制《居家养老服务手册》《居家养老服务管理手册》《居家养老服务培训手册》等。</w:t>
      </w:r>
    </w:p>
    <w:p w14:paraId="39D2D9DD">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1.2.4.4.6 </w:t>
      </w:r>
      <w:r>
        <w:rPr>
          <w:rFonts w:hint="eastAsia" w:ascii="仿宋" w:hAnsi="仿宋" w:eastAsia="仿宋" w:cs="仿宋"/>
          <w:sz w:val="28"/>
          <w:szCs w:val="28"/>
        </w:rPr>
        <w:t>有专门针对石龙镇居家养老服务的应急防范服务机制。</w:t>
      </w:r>
    </w:p>
    <w:p w14:paraId="0050B926">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1.2.4.5</w:t>
      </w:r>
      <w:r>
        <w:rPr>
          <w:rFonts w:hint="eastAsia" w:ascii="仿宋" w:hAnsi="仿宋" w:eastAsia="仿宋" w:cs="仿宋"/>
          <w:b/>
          <w:sz w:val="28"/>
          <w:szCs w:val="28"/>
        </w:rPr>
        <w:t>服务的延续与发展</w:t>
      </w:r>
    </w:p>
    <w:p w14:paraId="2E0B2B93">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投标人必须对石龙镇居家养老服务开展有详细的了解，依托社区综合服务中心及各村/社区的老人活动场所，在充分了解服务基础上能继续延续和发展居家养老服务，保证服务的延续和稳定性。</w:t>
      </w:r>
    </w:p>
    <w:p w14:paraId="1DE1AFF0">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1.2.4.6</w:t>
      </w:r>
      <w:r>
        <w:rPr>
          <w:rFonts w:hint="eastAsia" w:ascii="仿宋" w:hAnsi="仿宋" w:eastAsia="仿宋" w:cs="仿宋"/>
          <w:b/>
          <w:sz w:val="28"/>
          <w:szCs w:val="28"/>
        </w:rPr>
        <w:t>服务形式</w:t>
      </w:r>
    </w:p>
    <w:p w14:paraId="453BCE34">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属于政府资助对象的老人，可申请以下资助标准的服务。</w:t>
      </w:r>
    </w:p>
    <w:p w14:paraId="58E10902">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1.2.4.6.1 </w:t>
      </w:r>
      <w:r>
        <w:rPr>
          <w:rFonts w:hint="eastAsia" w:ascii="仿宋" w:hAnsi="仿宋" w:eastAsia="仿宋" w:cs="仿宋"/>
          <w:sz w:val="28"/>
          <w:szCs w:val="28"/>
        </w:rPr>
        <w:t>经评估属于重度失能的，按照每人每月720元的标准提供居家养老服务；</w:t>
      </w:r>
    </w:p>
    <w:p w14:paraId="0D8C6396">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1.2.4.6.2 </w:t>
      </w:r>
      <w:r>
        <w:rPr>
          <w:rFonts w:hint="eastAsia" w:ascii="仿宋" w:hAnsi="仿宋" w:eastAsia="仿宋" w:cs="仿宋"/>
          <w:sz w:val="28"/>
          <w:szCs w:val="28"/>
        </w:rPr>
        <w:t>经评估属于中度失能的，按照每人每月480元的标准提供居家养老服务；</w:t>
      </w:r>
    </w:p>
    <w:p w14:paraId="2DE94B13">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 xml:space="preserve">1.2.4.6.3 </w:t>
      </w:r>
      <w:r>
        <w:rPr>
          <w:rFonts w:hint="eastAsia" w:ascii="仿宋" w:hAnsi="仿宋" w:eastAsia="仿宋" w:cs="仿宋"/>
          <w:sz w:val="28"/>
          <w:szCs w:val="28"/>
        </w:rPr>
        <w:t>经评估属于轻度失能或能力完好的，按照每人每月360元的标准提供居家养老服务；</w:t>
      </w:r>
    </w:p>
    <w:p w14:paraId="6FCE0FBA">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1.2.4.6.4 服务资助通过养老服务卡以服务的形式发放。资助标准内的服务，当月使用，不能滚存。服务执行期间，如果资助标准有调整，按调整后的新标准执行。</w:t>
      </w:r>
    </w:p>
    <w:p w14:paraId="7FBD1824">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1.2.4.7</w:t>
      </w:r>
      <w:r>
        <w:rPr>
          <w:rFonts w:hint="eastAsia" w:ascii="仿宋" w:hAnsi="仿宋" w:eastAsia="仿宋" w:cs="仿宋"/>
          <w:b/>
          <w:sz w:val="28"/>
          <w:szCs w:val="28"/>
        </w:rPr>
        <w:t>居家养老服务内容</w:t>
      </w:r>
    </w:p>
    <w:p w14:paraId="255CF806">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针对石龙镇的老年人，提供居家养老服务。社区居家养老服务内容以“立足社区、面向老人、专业服务”为特点，依靠“社工+护理员+义工”为老年人提供专业化服务。具体服务内容如下：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407"/>
        <w:gridCol w:w="6102"/>
      </w:tblGrid>
      <w:tr w14:paraId="6A13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246DCC0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序号</w:t>
            </w:r>
          </w:p>
        </w:tc>
        <w:tc>
          <w:tcPr>
            <w:tcW w:w="1407" w:type="dxa"/>
            <w:tcMar>
              <w:top w:w="0" w:type="dxa"/>
              <w:left w:w="105" w:type="dxa"/>
              <w:bottom w:w="0" w:type="dxa"/>
              <w:right w:w="105" w:type="dxa"/>
            </w:tcMar>
            <w:vAlign w:val="center"/>
          </w:tcPr>
          <w:p w14:paraId="5EF5EF3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服务大项</w:t>
            </w:r>
          </w:p>
        </w:tc>
        <w:tc>
          <w:tcPr>
            <w:tcW w:w="6102" w:type="dxa"/>
            <w:tcMar>
              <w:top w:w="0" w:type="dxa"/>
              <w:left w:w="105" w:type="dxa"/>
              <w:bottom w:w="0" w:type="dxa"/>
              <w:right w:w="105" w:type="dxa"/>
            </w:tcMar>
            <w:vAlign w:val="center"/>
          </w:tcPr>
          <w:p w14:paraId="78513E6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具体服务内容</w:t>
            </w:r>
          </w:p>
        </w:tc>
      </w:tr>
      <w:tr w14:paraId="24D4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1B2B33B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1407" w:type="dxa"/>
            <w:tcMar>
              <w:top w:w="0" w:type="dxa"/>
              <w:left w:w="105" w:type="dxa"/>
              <w:bottom w:w="0" w:type="dxa"/>
              <w:right w:w="105" w:type="dxa"/>
            </w:tcMar>
            <w:vAlign w:val="center"/>
          </w:tcPr>
          <w:p w14:paraId="45FA32B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家政服务</w:t>
            </w:r>
          </w:p>
        </w:tc>
        <w:tc>
          <w:tcPr>
            <w:tcW w:w="6102" w:type="dxa"/>
            <w:tcMar>
              <w:top w:w="0" w:type="dxa"/>
              <w:left w:w="105" w:type="dxa"/>
              <w:bottom w:w="0" w:type="dxa"/>
              <w:right w:w="105" w:type="dxa"/>
            </w:tcMar>
            <w:vAlign w:val="center"/>
          </w:tcPr>
          <w:p w14:paraId="7DA50CF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为老年人生活居所、生活用品开展清洁和保洁的服务。</w:t>
            </w:r>
          </w:p>
        </w:tc>
      </w:tr>
      <w:tr w14:paraId="1D8B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0584B56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2</w:t>
            </w:r>
          </w:p>
        </w:tc>
        <w:tc>
          <w:tcPr>
            <w:tcW w:w="1407" w:type="dxa"/>
            <w:tcMar>
              <w:top w:w="0" w:type="dxa"/>
              <w:left w:w="105" w:type="dxa"/>
              <w:bottom w:w="0" w:type="dxa"/>
              <w:right w:w="105" w:type="dxa"/>
            </w:tcMar>
            <w:vAlign w:val="center"/>
          </w:tcPr>
          <w:p w14:paraId="51590C8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生活照料</w:t>
            </w:r>
          </w:p>
        </w:tc>
        <w:tc>
          <w:tcPr>
            <w:tcW w:w="6102" w:type="dxa"/>
            <w:tcMar>
              <w:top w:w="0" w:type="dxa"/>
              <w:left w:w="105" w:type="dxa"/>
              <w:bottom w:w="0" w:type="dxa"/>
              <w:right w:w="105" w:type="dxa"/>
            </w:tcMar>
            <w:vAlign w:val="center"/>
          </w:tcPr>
          <w:p w14:paraId="27032CE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为老年人提供与身心健康间接相关的生活照料、家务协助、生活护理等方面的服务。依托镇内长者饭堂为老年人进行送餐上门、定期聚餐服务。协助老年人申请平安铃服务，关注老年人平安铃使用以及维护等情况。</w:t>
            </w:r>
          </w:p>
        </w:tc>
      </w:tr>
      <w:tr w14:paraId="690B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68CF255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p>
        </w:tc>
        <w:tc>
          <w:tcPr>
            <w:tcW w:w="1407" w:type="dxa"/>
            <w:tcMar>
              <w:top w:w="0" w:type="dxa"/>
              <w:left w:w="105" w:type="dxa"/>
              <w:bottom w:w="0" w:type="dxa"/>
              <w:right w:w="105" w:type="dxa"/>
            </w:tcMar>
            <w:vAlign w:val="center"/>
          </w:tcPr>
          <w:p w14:paraId="6DDBCB6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康复护理</w:t>
            </w:r>
          </w:p>
        </w:tc>
        <w:tc>
          <w:tcPr>
            <w:tcW w:w="6102" w:type="dxa"/>
            <w:tcMar>
              <w:top w:w="0" w:type="dxa"/>
              <w:left w:w="105" w:type="dxa"/>
              <w:bottom w:w="0" w:type="dxa"/>
              <w:right w:w="105" w:type="dxa"/>
            </w:tcMar>
            <w:vAlign w:val="center"/>
          </w:tcPr>
          <w:p w14:paraId="19E78FDD">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为老年人提供与身体健康直接有关的预防、护理、康复方面的服务。</w:t>
            </w:r>
          </w:p>
        </w:tc>
      </w:tr>
      <w:tr w14:paraId="26E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5BBF73AD">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c>
          <w:tcPr>
            <w:tcW w:w="1407" w:type="dxa"/>
            <w:tcMar>
              <w:top w:w="0" w:type="dxa"/>
              <w:left w:w="105" w:type="dxa"/>
              <w:bottom w:w="0" w:type="dxa"/>
              <w:right w:w="105" w:type="dxa"/>
            </w:tcMar>
            <w:vAlign w:val="center"/>
          </w:tcPr>
          <w:p w14:paraId="5E7BFF84">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c>
          <w:tcPr>
            <w:tcW w:w="6102" w:type="dxa"/>
            <w:tcMar>
              <w:top w:w="0" w:type="dxa"/>
              <w:left w:w="105" w:type="dxa"/>
              <w:bottom w:w="0" w:type="dxa"/>
              <w:right w:w="105" w:type="dxa"/>
            </w:tcMar>
            <w:vAlign w:val="center"/>
          </w:tcPr>
          <w:p w14:paraId="451BB30F">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r>
      <w:tr w14:paraId="54C2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293354E4">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c>
          <w:tcPr>
            <w:tcW w:w="1407" w:type="dxa"/>
            <w:tcMar>
              <w:top w:w="0" w:type="dxa"/>
              <w:left w:w="105" w:type="dxa"/>
              <w:bottom w:w="0" w:type="dxa"/>
              <w:right w:w="105" w:type="dxa"/>
            </w:tcMar>
            <w:vAlign w:val="center"/>
          </w:tcPr>
          <w:p w14:paraId="2765242F">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c>
          <w:tcPr>
            <w:tcW w:w="6102" w:type="dxa"/>
            <w:tcMar>
              <w:top w:w="0" w:type="dxa"/>
              <w:left w:w="105" w:type="dxa"/>
              <w:bottom w:w="0" w:type="dxa"/>
              <w:right w:w="105" w:type="dxa"/>
            </w:tcMar>
            <w:vAlign w:val="center"/>
          </w:tcPr>
          <w:p w14:paraId="1903B12D">
            <w:pPr>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tc>
      </w:tr>
      <w:tr w14:paraId="3918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Mar>
              <w:top w:w="0" w:type="dxa"/>
              <w:left w:w="105" w:type="dxa"/>
              <w:bottom w:w="0" w:type="dxa"/>
              <w:right w:w="105" w:type="dxa"/>
            </w:tcMar>
            <w:vAlign w:val="center"/>
          </w:tcPr>
          <w:p w14:paraId="57682D6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p>
        </w:tc>
        <w:tc>
          <w:tcPr>
            <w:tcW w:w="1407" w:type="dxa"/>
            <w:tcMar>
              <w:top w:w="0" w:type="dxa"/>
              <w:left w:w="105" w:type="dxa"/>
              <w:bottom w:w="0" w:type="dxa"/>
              <w:right w:w="105" w:type="dxa"/>
            </w:tcMar>
            <w:vAlign w:val="center"/>
          </w:tcPr>
          <w:p w14:paraId="020CF1E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精神慰藉</w:t>
            </w:r>
          </w:p>
        </w:tc>
        <w:tc>
          <w:tcPr>
            <w:tcW w:w="6102" w:type="dxa"/>
            <w:tcMar>
              <w:top w:w="0" w:type="dxa"/>
              <w:left w:w="105" w:type="dxa"/>
              <w:bottom w:w="0" w:type="dxa"/>
              <w:right w:w="105" w:type="dxa"/>
            </w:tcMar>
            <w:vAlign w:val="center"/>
          </w:tcPr>
          <w:p w14:paraId="33D6E647">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通过为老年人精神慰藉、心灵关怀等，改善老年人心理、情绪和社会关系问题。整合可能的社会资源为老年人提供多样化文化娱乐的服务。</w:t>
            </w:r>
          </w:p>
        </w:tc>
      </w:tr>
    </w:tbl>
    <w:p w14:paraId="775D9412">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rPr>
        <w:t>注：</w:t>
      </w:r>
      <w:r>
        <w:rPr>
          <w:rFonts w:hint="eastAsia" w:ascii="仿宋" w:hAnsi="仿宋" w:eastAsia="仿宋" w:cs="仿宋"/>
          <w:sz w:val="28"/>
          <w:szCs w:val="28"/>
          <w:lang w:eastAsia="zh-CN"/>
        </w:rPr>
        <w:t>投标人</w:t>
      </w:r>
      <w:r>
        <w:rPr>
          <w:rFonts w:hint="eastAsia" w:ascii="仿宋" w:hAnsi="仿宋" w:eastAsia="仿宋" w:cs="仿宋"/>
          <w:sz w:val="28"/>
          <w:szCs w:val="28"/>
        </w:rPr>
        <w:t>提供的相关服务内容应根据省、市、镇最新的养老政策及要求进行调整并开展工作</w:t>
      </w:r>
    </w:p>
    <w:p w14:paraId="4927FA8E">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1.2.5</w:t>
      </w:r>
      <w:r>
        <w:rPr>
          <w:rFonts w:hint="eastAsia" w:ascii="仿宋" w:hAnsi="仿宋" w:eastAsia="仿宋" w:cs="仿宋"/>
          <w:b/>
          <w:sz w:val="28"/>
          <w:szCs w:val="28"/>
        </w:rPr>
        <w:t>服务指标（两年指标）</w:t>
      </w:r>
    </w:p>
    <w:tbl>
      <w:tblPr>
        <w:tblStyle w:val="5"/>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07"/>
        <w:gridCol w:w="1788"/>
        <w:gridCol w:w="2146"/>
        <w:gridCol w:w="3569"/>
      </w:tblGrid>
      <w:tr w14:paraId="5DEBF6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81D981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序号</w:t>
            </w:r>
          </w:p>
        </w:tc>
        <w:tc>
          <w:tcPr>
            <w:tcW w:w="178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86BE7D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服务协议指标</w:t>
            </w:r>
          </w:p>
        </w:tc>
        <w:tc>
          <w:tcPr>
            <w:tcW w:w="21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1FC51C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协议数</w:t>
            </w:r>
          </w:p>
        </w:tc>
        <w:tc>
          <w:tcPr>
            <w:tcW w:w="356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E22704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备注</w:t>
            </w:r>
          </w:p>
        </w:tc>
      </w:tr>
      <w:tr w14:paraId="778C49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3A8E29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C735B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建档</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D4133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一人一档</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8FB8C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动态更新信息</w:t>
            </w:r>
          </w:p>
        </w:tc>
      </w:tr>
      <w:tr w14:paraId="2043B6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2AADD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99722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护工团队培训</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1488FE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24次</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DF3B2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5AF334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D8B57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0278A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居家养老上门服务时数</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48F33B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人均100小时/年</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13E52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根据项目失能长者中重度程度而定</w:t>
            </w:r>
          </w:p>
        </w:tc>
      </w:tr>
      <w:tr w14:paraId="262FC7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7673D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A0544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需求/成效报告</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9A0724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4份</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DCF867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50BB40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81396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95C1F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咨询</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EA414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200人次</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DB1181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4C4C89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668ED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2EC24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走访</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A0AFB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400</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7CEC7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r w14:paraId="0672C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70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4DA72F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w:t>
            </w:r>
          </w:p>
        </w:tc>
        <w:tc>
          <w:tcPr>
            <w:tcW w:w="1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FD3EB8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宣传资料</w:t>
            </w:r>
          </w:p>
        </w:tc>
        <w:tc>
          <w:tcPr>
            <w:tcW w:w="21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601D4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12份</w:t>
            </w:r>
          </w:p>
        </w:tc>
        <w:tc>
          <w:tcPr>
            <w:tcW w:w="35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9E84A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000000"/>
                <w:sz w:val="28"/>
                <w:szCs w:val="28"/>
              </w:rPr>
            </w:pPr>
          </w:p>
        </w:tc>
      </w:tr>
    </w:tbl>
    <w:p w14:paraId="283C0711">
      <w:pPr>
        <w:pStyle w:val="8"/>
        <w:keepNext w:val="0"/>
        <w:keepLines w:val="0"/>
        <w:pageBreakBefore w:val="0"/>
        <w:kinsoku/>
        <w:wordWrap/>
        <w:overflowPunct/>
        <w:topLinePunct w:val="0"/>
        <w:autoSpaceDE/>
        <w:autoSpaceDN/>
        <w:bidi w:val="0"/>
        <w:adjustRightInd/>
        <w:snapToGrid w:val="0"/>
        <w:spacing w:line="360" w:lineRule="auto"/>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注：</w:t>
      </w:r>
    </w:p>
    <w:p w14:paraId="5990F3E5">
      <w:pPr>
        <w:pStyle w:val="8"/>
        <w:keepNext w:val="0"/>
        <w:keepLines w:val="0"/>
        <w:pageBreakBefore w:val="0"/>
        <w:kinsoku/>
        <w:wordWrap/>
        <w:overflowPunct/>
        <w:topLinePunct w:val="0"/>
        <w:autoSpaceDE/>
        <w:autoSpaceDN/>
        <w:bidi w:val="0"/>
        <w:adjustRightInd/>
        <w:snapToGrid w:val="0"/>
        <w:spacing w:line="360" w:lineRule="auto"/>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①以上服务指标，采购人与中标人可根据实际，协商服务需求指标，并作相应调整。</w:t>
      </w:r>
    </w:p>
    <w:p w14:paraId="1479859B">
      <w:pPr>
        <w:pStyle w:val="8"/>
        <w:keepNext w:val="0"/>
        <w:keepLines w:val="0"/>
        <w:pageBreakBefore w:val="0"/>
        <w:kinsoku/>
        <w:wordWrap/>
        <w:overflowPunct/>
        <w:topLinePunct w:val="0"/>
        <w:autoSpaceDE/>
        <w:autoSpaceDN/>
        <w:bidi w:val="0"/>
        <w:adjustRightInd/>
        <w:snapToGrid w:val="0"/>
        <w:spacing w:line="360" w:lineRule="auto"/>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②中标人应及时更新并保存项目相关资料，定期整理上报采购人，未经采购人允许不得外借</w:t>
      </w:r>
    </w:p>
    <w:p w14:paraId="0436628B">
      <w:pPr>
        <w:pStyle w:val="8"/>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b/>
          <w:sz w:val="28"/>
          <w:szCs w:val="28"/>
        </w:rPr>
      </w:pPr>
    </w:p>
    <w:p w14:paraId="023BF42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二、劳动条件</w:t>
      </w:r>
    </w:p>
    <w:p w14:paraId="784D0F8E">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2.1</w:t>
      </w:r>
      <w:r>
        <w:rPr>
          <w:rFonts w:hint="eastAsia" w:ascii="仿宋" w:hAnsi="仿宋" w:eastAsia="仿宋" w:cs="仿宋"/>
          <w:b/>
          <w:sz w:val="28"/>
          <w:szCs w:val="28"/>
        </w:rPr>
        <w:t>石龙镇红棉长者服务中心项目</w:t>
      </w:r>
    </w:p>
    <w:p w14:paraId="55841CE8">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rPr>
        <w:t>根据项目的需求及运营情况，</w:t>
      </w:r>
      <w:r>
        <w:rPr>
          <w:rFonts w:hint="eastAsia" w:ascii="仿宋" w:hAnsi="仿宋" w:eastAsia="仿宋" w:cs="仿宋"/>
          <w:sz w:val="28"/>
          <w:szCs w:val="28"/>
          <w:lang w:eastAsia="zh-CN"/>
        </w:rPr>
        <w:t>配备</w:t>
      </w:r>
      <w:r>
        <w:rPr>
          <w:rFonts w:hint="eastAsia" w:ascii="仿宋" w:hAnsi="仿宋" w:eastAsia="仿宋" w:cs="仿宋"/>
          <w:sz w:val="28"/>
          <w:szCs w:val="28"/>
        </w:rPr>
        <w:t>社会工作师相关专业的服务人员，服务石龙镇辖内（含村/社区）有需求的老人、老人家属及家庭。中标人须保证保质保量完成项目服务内容。</w:t>
      </w:r>
    </w:p>
    <w:p w14:paraId="3AFFEFBF">
      <w:pPr>
        <w:pStyle w:val="8"/>
        <w:keepNext w:val="0"/>
        <w:keepLines w:val="0"/>
        <w:pageBreakBefore w:val="0"/>
        <w:kinsoku/>
        <w:wordWrap/>
        <w:overflowPunct/>
        <w:topLinePunct w:val="0"/>
        <w:autoSpaceDE/>
        <w:autoSpaceDN/>
        <w:bidi w:val="0"/>
        <w:adjustRightInd/>
        <w:snapToGrid w:val="0"/>
        <w:spacing w:line="360" w:lineRule="auto"/>
        <w:ind w:firstLine="422"/>
        <w:jc w:val="both"/>
        <w:textAlignment w:val="auto"/>
        <w:rPr>
          <w:rFonts w:hint="eastAsia" w:ascii="仿宋" w:hAnsi="仿宋" w:eastAsia="仿宋" w:cs="仿宋"/>
          <w:sz w:val="28"/>
          <w:szCs w:val="28"/>
        </w:rPr>
      </w:pPr>
      <w:r>
        <w:rPr>
          <w:rFonts w:hint="eastAsia" w:ascii="仿宋" w:hAnsi="仿宋" w:eastAsia="仿宋" w:cs="仿宋"/>
          <w:b/>
          <w:sz w:val="28"/>
          <w:szCs w:val="28"/>
          <w:lang w:eastAsia="zh-CN"/>
        </w:rPr>
        <w:t>2.2</w:t>
      </w:r>
      <w:r>
        <w:rPr>
          <w:rFonts w:hint="eastAsia" w:ascii="仿宋" w:hAnsi="仿宋" w:eastAsia="仿宋" w:cs="仿宋"/>
          <w:b/>
          <w:sz w:val="28"/>
          <w:szCs w:val="28"/>
        </w:rPr>
        <w:t>石龙镇居家养老服务项目</w:t>
      </w:r>
    </w:p>
    <w:p w14:paraId="0C07E7B8">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color w:val="000000"/>
          <w:sz w:val="28"/>
          <w:szCs w:val="28"/>
        </w:rPr>
        <w:t>根据实际服务老人人数及服务情况，</w:t>
      </w:r>
      <w:r>
        <w:rPr>
          <w:rFonts w:hint="eastAsia" w:ascii="仿宋" w:hAnsi="仿宋" w:eastAsia="仿宋" w:cs="仿宋"/>
          <w:sz w:val="28"/>
          <w:szCs w:val="28"/>
          <w:lang w:eastAsia="zh-CN"/>
        </w:rPr>
        <w:t>配备</w:t>
      </w:r>
      <w:r>
        <w:rPr>
          <w:rFonts w:hint="eastAsia" w:ascii="仿宋" w:hAnsi="仿宋" w:eastAsia="仿宋" w:cs="仿宋"/>
          <w:sz w:val="28"/>
          <w:szCs w:val="28"/>
        </w:rPr>
        <w:t>社会工作师、养老护理相关专业的服务人员</w:t>
      </w:r>
      <w:r>
        <w:rPr>
          <w:rFonts w:hint="eastAsia" w:ascii="仿宋" w:hAnsi="仿宋" w:eastAsia="仿宋" w:cs="仿宋"/>
          <w:color w:val="000000"/>
          <w:sz w:val="28"/>
          <w:szCs w:val="28"/>
        </w:rPr>
        <w:t>；护理员则根据服务对象实际数量进行匹配（中标人匹配护理员人员须保质保量完成项目服务内容为前期）配置，为有需求的老人、老人家属、护老者及家庭提供居家养老服务。</w:t>
      </w:r>
    </w:p>
    <w:p w14:paraId="2116A024">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2.2.1</w:t>
      </w:r>
      <w:r>
        <w:rPr>
          <w:rFonts w:hint="eastAsia" w:ascii="仿宋" w:hAnsi="仿宋" w:eastAsia="仿宋" w:cs="仿宋"/>
          <w:sz w:val="28"/>
          <w:szCs w:val="28"/>
        </w:rPr>
        <w:t>中标人派驻的社工工作时间应结合采购人正常的工作时间和社区服务特性。中标人社工每周有一定的集中督导时间，具体时间和地点由督导与采购人和中标人协商后固定下来。另外，中标人社工每个月应安排一天时间用于回到中标人机构递交材料、总结工作及接受培训。</w:t>
      </w:r>
    </w:p>
    <w:p w14:paraId="0E0ECDCE">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2.2</w:t>
      </w:r>
      <w:r>
        <w:rPr>
          <w:rFonts w:hint="eastAsia" w:ascii="仿宋" w:hAnsi="仿宋" w:eastAsia="仿宋" w:cs="仿宋"/>
          <w:sz w:val="28"/>
          <w:szCs w:val="28"/>
        </w:rPr>
        <w:t>采购人应保证中标人社工正常的作息时间和休假，合理安排其相关工作。</w:t>
      </w:r>
    </w:p>
    <w:p w14:paraId="1C81160B">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2.3投标人</w:t>
      </w:r>
      <w:r>
        <w:rPr>
          <w:rFonts w:hint="eastAsia" w:ascii="仿宋" w:hAnsi="仿宋" w:eastAsia="仿宋" w:cs="仿宋"/>
          <w:sz w:val="28"/>
          <w:szCs w:val="28"/>
        </w:rPr>
        <w:t>应积极了解社会工作的性质、服务理念、服务内容及服务范围，提供相应服务的技术指导、资源，支持社工从事合同范围内的专业社工服务。</w:t>
      </w:r>
    </w:p>
    <w:p w14:paraId="0CAD0FD5">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b/>
          <w:sz w:val="28"/>
          <w:szCs w:val="28"/>
        </w:rPr>
      </w:pPr>
    </w:p>
    <w:p w14:paraId="13134D36">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三、考核管理</w:t>
      </w:r>
    </w:p>
    <w:p w14:paraId="7DBCD1A9">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color w:val="000000"/>
          <w:sz w:val="28"/>
          <w:szCs w:val="28"/>
          <w:lang w:eastAsia="zh-CN"/>
        </w:rPr>
        <w:t>3.1</w:t>
      </w:r>
      <w:r>
        <w:rPr>
          <w:rFonts w:hint="eastAsia" w:ascii="仿宋" w:hAnsi="仿宋" w:eastAsia="仿宋" w:cs="仿宋"/>
          <w:color w:val="000000"/>
          <w:sz w:val="28"/>
          <w:szCs w:val="28"/>
        </w:rPr>
        <w:t>为保证社工服务质量，规范服务行为，中标人应与相关服务单位（部门）制定服务计划，签订服务协议，相关服务单位有权对社会组织的服务质量进行监督，如发现社会组织存有不合理、不完善事项或服务质量问题，相关服务单位有权要求社会组织改正。同时，石龙镇公共服务办公室、相关服务单位有权对社会组织服务质量进行监督，并提出合理建议和意见。</w:t>
      </w:r>
    </w:p>
    <w:p w14:paraId="284DC866">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sz w:val="28"/>
          <w:szCs w:val="28"/>
        </w:rPr>
      </w:pPr>
      <w:r>
        <w:rPr>
          <w:rFonts w:hint="eastAsia" w:ascii="仿宋" w:hAnsi="仿宋" w:eastAsia="仿宋" w:cs="仿宋"/>
          <w:color w:val="000000"/>
          <w:sz w:val="28"/>
          <w:szCs w:val="28"/>
          <w:lang w:eastAsia="zh-CN"/>
        </w:rPr>
        <w:t>3.2</w:t>
      </w:r>
      <w:r>
        <w:rPr>
          <w:rFonts w:hint="eastAsia" w:ascii="仿宋" w:hAnsi="仿宋" w:eastAsia="仿宋" w:cs="仿宋"/>
          <w:color w:val="000000"/>
          <w:sz w:val="28"/>
          <w:szCs w:val="28"/>
        </w:rPr>
        <w:t>中标人应与社工签订合法的劳动协议。中标人通过定期走访、服务抽查、绩效考核等方式对社工进行评估，以推进岗位社工服务达到协议标准。</w:t>
      </w:r>
    </w:p>
    <w:p w14:paraId="2A493296">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3.3</w:t>
      </w:r>
      <w:r>
        <w:rPr>
          <w:rFonts w:hint="eastAsia" w:ascii="仿宋" w:hAnsi="仿宋" w:eastAsia="仿宋" w:cs="仿宋"/>
          <w:color w:val="000000"/>
          <w:sz w:val="28"/>
          <w:szCs w:val="28"/>
        </w:rPr>
        <w:t>中标人负责社工日常管理、教育、培训、考核，以促进社工业务能力的不断提升。</w:t>
      </w:r>
    </w:p>
    <w:p w14:paraId="76E1FA32">
      <w:pPr>
        <w:pStyle w:val="8"/>
        <w:keepNext w:val="0"/>
        <w:keepLines w:val="0"/>
        <w:pageBreakBefore w:val="0"/>
        <w:kinsoku/>
        <w:wordWrap/>
        <w:overflowPunct/>
        <w:topLinePunct w:val="0"/>
        <w:autoSpaceDE/>
        <w:autoSpaceDN/>
        <w:bidi w:val="0"/>
        <w:adjustRightInd/>
        <w:snapToGrid w:val="0"/>
        <w:spacing w:line="360" w:lineRule="auto"/>
        <w:ind w:firstLine="42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3.</w:t>
      </w:r>
      <w:r>
        <w:rPr>
          <w:rFonts w:hint="eastAsia" w:ascii="仿宋" w:hAnsi="仿宋" w:eastAsia="仿宋" w:cs="仿宋"/>
          <w:color w:val="000000"/>
          <w:sz w:val="28"/>
          <w:szCs w:val="28"/>
        </w:rPr>
        <w:t>4考核标准：按附件《石龙镇社会工作服务项目评估标准（1类标准）》（详见附件1）。</w:t>
      </w:r>
    </w:p>
    <w:p w14:paraId="07B01AAF">
      <w:pPr>
        <w:pStyle w:val="8"/>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color w:val="000000"/>
          <w:sz w:val="28"/>
          <w:szCs w:val="28"/>
        </w:rPr>
      </w:pPr>
    </w:p>
    <w:p w14:paraId="302B6FC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四、服务产出保障</w:t>
      </w:r>
    </w:p>
    <w:p w14:paraId="443DD7DB">
      <w:pPr>
        <w:pStyle w:val="8"/>
        <w:keepNext w:val="0"/>
        <w:keepLines w:val="0"/>
        <w:pageBreakBefore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中标人应在服务合同到期前，至少提前14个工作日主动提供项目服务期间的服务对象档案、服务记录台账及产出的服务成果（包含但不限论文及研究成果、商标、品牌服务流程、工作制度等有关台账纸质档案）能够体现项目成效的产出等全部资料移交给采购人，知识产权均归属采购人所有。</w:t>
      </w:r>
    </w:p>
    <w:p w14:paraId="3DC69783">
      <w:pPr>
        <w:pStyle w:val="8"/>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color w:val="000000"/>
          <w:sz w:val="28"/>
          <w:szCs w:val="28"/>
        </w:rPr>
      </w:pPr>
    </w:p>
    <w:p w14:paraId="7F05560E">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五、★其他要求（投标人提供响应承诺书及其证明材料，格式自拟）</w:t>
      </w:r>
    </w:p>
    <w:p w14:paraId="0ED94E84">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5.1</w:t>
      </w:r>
      <w:r>
        <w:rPr>
          <w:rFonts w:hint="eastAsia" w:ascii="仿宋" w:hAnsi="仿宋" w:eastAsia="仿宋" w:cs="仿宋"/>
          <w:sz w:val="28"/>
          <w:szCs w:val="28"/>
        </w:rPr>
        <w:t>中标人如出现违反法律法规，违背社会主义核心价值观、社会公序良俗、损害公共利益和他人合法权益，造成不良影响的，采购人有权主动解除合同（投标人提供承诺书，格式自拟）。</w:t>
      </w:r>
    </w:p>
    <w:p w14:paraId="5B54FF97">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5.2</w:t>
      </w:r>
      <w:r>
        <w:rPr>
          <w:rFonts w:hint="eastAsia" w:ascii="仿宋" w:hAnsi="仿宋" w:eastAsia="仿宋" w:cs="仿宋"/>
          <w:sz w:val="28"/>
          <w:szCs w:val="28"/>
        </w:rPr>
        <w:t>对每年市镇主管单位开展的评估工作中，由市民政局会同镇（街道）民政部门督促整改。整改后仍不合格的服务机构，由服务购买方中止其政府购买服务合同。</w:t>
      </w:r>
    </w:p>
    <w:p w14:paraId="537915DA">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5.3</w:t>
      </w:r>
      <w:r>
        <w:rPr>
          <w:rFonts w:hint="eastAsia" w:ascii="仿宋" w:hAnsi="仿宋" w:eastAsia="仿宋" w:cs="仿宋"/>
          <w:sz w:val="28"/>
          <w:szCs w:val="28"/>
        </w:rPr>
        <w:t>因东莞市财政体制改革或其他不可抗力导致项目中断或变化的，不属于违约范畴。</w:t>
      </w:r>
    </w:p>
    <w:p w14:paraId="7E90C676">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5.4投标人</w:t>
      </w:r>
      <w:r>
        <w:rPr>
          <w:rFonts w:hint="eastAsia" w:ascii="仿宋" w:hAnsi="仿宋" w:eastAsia="仿宋" w:cs="仿宋"/>
          <w:sz w:val="28"/>
          <w:szCs w:val="28"/>
        </w:rPr>
        <w:t>具有独立承担民事责任的能力，并具备参加政府采购活动的合法条件</w:t>
      </w:r>
      <w:r>
        <w:rPr>
          <w:rFonts w:hint="eastAsia" w:ascii="仿宋" w:hAnsi="仿宋" w:eastAsia="仿宋" w:cs="仿宋"/>
          <w:b/>
          <w:sz w:val="28"/>
          <w:szCs w:val="28"/>
        </w:rPr>
        <w:t>（须提供承接政府职能转移证明）；</w:t>
      </w:r>
    </w:p>
    <w:p w14:paraId="382A0D8A">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5.5投标人</w:t>
      </w:r>
      <w:r>
        <w:rPr>
          <w:rFonts w:hint="eastAsia" w:ascii="仿宋" w:hAnsi="仿宋" w:eastAsia="仿宋" w:cs="仿宋"/>
          <w:sz w:val="28"/>
          <w:szCs w:val="28"/>
        </w:rPr>
        <w:t>须具有履行合同所必需的设施和设备，拥有专业的居家养老管理团队和服务团队；项目负责人具有3年以上的养老服务或医疗、健康服务从业经历和经验；（上述人员证明材料复印件及近三个月内任意一个月投标人为其购买社保的证明材料并加盖投标人公章；或投标人承诺中标后配齐上述人员，须在投标文件中单独提供承诺函）。</w:t>
      </w:r>
    </w:p>
    <w:p w14:paraId="184A2BDB">
      <w:pPr>
        <w:pStyle w:val="8"/>
        <w:keepNext w:val="0"/>
        <w:keepLines w:val="0"/>
        <w:pageBreakBefore w:val="0"/>
        <w:kinsoku/>
        <w:wordWrap/>
        <w:overflowPunct/>
        <w:topLinePunct w:val="0"/>
        <w:autoSpaceDE/>
        <w:autoSpaceDN/>
        <w:bidi w:val="0"/>
        <w:adjustRightInd/>
        <w:snapToGrid w:val="0"/>
        <w:spacing w:line="360" w:lineRule="auto"/>
        <w:ind w:firstLine="48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5.6投标人</w:t>
      </w:r>
      <w:r>
        <w:rPr>
          <w:rFonts w:hint="eastAsia" w:ascii="仿宋" w:hAnsi="仿宋" w:eastAsia="仿宋" w:cs="仿宋"/>
          <w:sz w:val="28"/>
          <w:szCs w:val="28"/>
        </w:rPr>
        <w:t>应根据服务资源、服务对象失能程度等实际情况，合理确定护理人员与服务对象的配备比例，护理人员应完成专业岗前培训或具有专业技术教育背景。</w:t>
      </w:r>
    </w:p>
    <w:p w14:paraId="58A14ED2">
      <w:pPr>
        <w:pStyle w:val="8"/>
        <w:keepNext w:val="0"/>
        <w:keepLines w:val="0"/>
        <w:pageBreakBefore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0B78D7C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b/>
          <w:sz w:val="28"/>
          <w:szCs w:val="28"/>
        </w:rPr>
        <w:t>附件1：石龙镇社会工作服务项目评估标准（1类标准）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623"/>
        <w:gridCol w:w="612"/>
        <w:gridCol w:w="623"/>
        <w:gridCol w:w="4188"/>
        <w:gridCol w:w="612"/>
        <w:gridCol w:w="655"/>
        <w:gridCol w:w="467"/>
      </w:tblGrid>
      <w:tr w14:paraId="1416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tcMar>
              <w:top w:w="0" w:type="dxa"/>
              <w:left w:w="105" w:type="dxa"/>
              <w:bottom w:w="0" w:type="dxa"/>
              <w:right w:w="105" w:type="dxa"/>
            </w:tcMar>
            <w:vAlign w:val="center"/>
          </w:tcPr>
          <w:p w14:paraId="5F6BC97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一级指标</w:t>
            </w:r>
          </w:p>
        </w:tc>
        <w:tc>
          <w:tcPr>
            <w:tcW w:w="623" w:type="dxa"/>
            <w:tcMar>
              <w:top w:w="0" w:type="dxa"/>
              <w:left w:w="105" w:type="dxa"/>
              <w:bottom w:w="0" w:type="dxa"/>
              <w:right w:w="105" w:type="dxa"/>
            </w:tcMar>
            <w:vAlign w:val="center"/>
          </w:tcPr>
          <w:p w14:paraId="1FD3095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二级指标</w:t>
            </w:r>
          </w:p>
        </w:tc>
        <w:tc>
          <w:tcPr>
            <w:tcW w:w="612" w:type="dxa"/>
            <w:tcMar>
              <w:top w:w="0" w:type="dxa"/>
              <w:left w:w="105" w:type="dxa"/>
              <w:bottom w:w="0" w:type="dxa"/>
              <w:right w:w="105" w:type="dxa"/>
            </w:tcMar>
            <w:vAlign w:val="center"/>
          </w:tcPr>
          <w:p w14:paraId="18D6E80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三级指标</w:t>
            </w:r>
          </w:p>
        </w:tc>
        <w:tc>
          <w:tcPr>
            <w:tcW w:w="623" w:type="dxa"/>
            <w:tcMar>
              <w:top w:w="0" w:type="dxa"/>
              <w:left w:w="105" w:type="dxa"/>
              <w:bottom w:w="0" w:type="dxa"/>
              <w:right w:w="105" w:type="dxa"/>
            </w:tcMar>
            <w:vAlign w:val="center"/>
          </w:tcPr>
          <w:p w14:paraId="7830474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分值</w:t>
            </w:r>
          </w:p>
        </w:tc>
        <w:tc>
          <w:tcPr>
            <w:tcW w:w="4188" w:type="dxa"/>
            <w:tcMar>
              <w:top w:w="0" w:type="dxa"/>
              <w:left w:w="105" w:type="dxa"/>
              <w:bottom w:w="0" w:type="dxa"/>
              <w:right w:w="105" w:type="dxa"/>
            </w:tcMar>
            <w:vAlign w:val="center"/>
          </w:tcPr>
          <w:p w14:paraId="5D5E597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赋分说明</w:t>
            </w:r>
          </w:p>
        </w:tc>
        <w:tc>
          <w:tcPr>
            <w:tcW w:w="612" w:type="dxa"/>
            <w:tcMar>
              <w:top w:w="0" w:type="dxa"/>
              <w:left w:w="105" w:type="dxa"/>
              <w:bottom w:w="0" w:type="dxa"/>
              <w:right w:w="105" w:type="dxa"/>
            </w:tcMar>
            <w:vAlign w:val="center"/>
          </w:tcPr>
          <w:p w14:paraId="6A55CF9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评估机构</w:t>
            </w:r>
          </w:p>
        </w:tc>
        <w:tc>
          <w:tcPr>
            <w:tcW w:w="655" w:type="dxa"/>
            <w:tcMar>
              <w:top w:w="0" w:type="dxa"/>
              <w:left w:w="105" w:type="dxa"/>
              <w:bottom w:w="0" w:type="dxa"/>
              <w:right w:w="105" w:type="dxa"/>
            </w:tcMar>
            <w:vAlign w:val="center"/>
          </w:tcPr>
          <w:p w14:paraId="44CA7E4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服务对象</w:t>
            </w:r>
          </w:p>
        </w:tc>
        <w:tc>
          <w:tcPr>
            <w:tcW w:w="467" w:type="dxa"/>
            <w:tcMar>
              <w:top w:w="0" w:type="dxa"/>
              <w:left w:w="105" w:type="dxa"/>
              <w:bottom w:w="0" w:type="dxa"/>
              <w:right w:w="105" w:type="dxa"/>
            </w:tcMar>
            <w:vAlign w:val="center"/>
          </w:tcPr>
          <w:p w14:paraId="48D3A9B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相关方</w:t>
            </w:r>
          </w:p>
        </w:tc>
      </w:tr>
      <w:tr w14:paraId="5D5D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4EA3587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1.服务队伍建设（13分）</w:t>
            </w:r>
          </w:p>
        </w:tc>
        <w:tc>
          <w:tcPr>
            <w:tcW w:w="623" w:type="dxa"/>
            <w:vMerge w:val="restart"/>
            <w:tcMar>
              <w:top w:w="0" w:type="dxa"/>
              <w:left w:w="105" w:type="dxa"/>
              <w:bottom w:w="0" w:type="dxa"/>
              <w:right w:w="105" w:type="dxa"/>
            </w:tcMar>
            <w:vAlign w:val="center"/>
          </w:tcPr>
          <w:p w14:paraId="084256A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1.1人员配置</w:t>
            </w:r>
          </w:p>
        </w:tc>
        <w:tc>
          <w:tcPr>
            <w:tcW w:w="612" w:type="dxa"/>
            <w:tcMar>
              <w:top w:w="0" w:type="dxa"/>
              <w:left w:w="105" w:type="dxa"/>
              <w:bottom w:w="0" w:type="dxa"/>
              <w:right w:w="105" w:type="dxa"/>
            </w:tcMar>
            <w:vAlign w:val="center"/>
          </w:tcPr>
          <w:p w14:paraId="796F39B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1.1.1人员安排和出勤</w:t>
            </w:r>
          </w:p>
        </w:tc>
        <w:tc>
          <w:tcPr>
            <w:tcW w:w="623" w:type="dxa"/>
            <w:tcMar>
              <w:top w:w="0" w:type="dxa"/>
              <w:left w:w="105" w:type="dxa"/>
              <w:bottom w:w="0" w:type="dxa"/>
              <w:right w:w="105" w:type="dxa"/>
            </w:tcMar>
            <w:vAlign w:val="center"/>
          </w:tcPr>
          <w:p w14:paraId="2A24C3F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4188" w:type="dxa"/>
            <w:tcMar>
              <w:top w:w="0" w:type="dxa"/>
              <w:left w:w="105" w:type="dxa"/>
              <w:bottom w:w="0" w:type="dxa"/>
              <w:right w:w="105" w:type="dxa"/>
            </w:tcMar>
            <w:vAlign w:val="center"/>
          </w:tcPr>
          <w:p w14:paraId="55F20D53">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实际配备的项目人员数量符合合同规定，6分，否则不得分。</w:t>
            </w:r>
          </w:p>
          <w:p w14:paraId="0F389164">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专职人员数量若出现空岗情况，空岗1人/月以上（含），每1个月扣1.5分，扣完为止。</w:t>
            </w:r>
          </w:p>
        </w:tc>
        <w:tc>
          <w:tcPr>
            <w:tcW w:w="612" w:type="dxa"/>
            <w:tcMar>
              <w:top w:w="0" w:type="dxa"/>
              <w:left w:w="105" w:type="dxa"/>
              <w:bottom w:w="0" w:type="dxa"/>
              <w:right w:w="105" w:type="dxa"/>
            </w:tcMar>
            <w:vAlign w:val="center"/>
          </w:tcPr>
          <w:p w14:paraId="6D3543B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655" w:type="dxa"/>
            <w:tcMar>
              <w:top w:w="0" w:type="dxa"/>
              <w:left w:w="105" w:type="dxa"/>
              <w:bottom w:w="0" w:type="dxa"/>
              <w:right w:w="105" w:type="dxa"/>
            </w:tcMar>
            <w:vAlign w:val="center"/>
          </w:tcPr>
          <w:p w14:paraId="5EB5D97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3826E5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7DB5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0567AF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6F94129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471AEB3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1.1.2人员资质符合</w:t>
            </w:r>
          </w:p>
        </w:tc>
        <w:tc>
          <w:tcPr>
            <w:tcW w:w="623" w:type="dxa"/>
            <w:tcMar>
              <w:top w:w="0" w:type="dxa"/>
              <w:left w:w="105" w:type="dxa"/>
              <w:bottom w:w="0" w:type="dxa"/>
              <w:right w:w="105" w:type="dxa"/>
            </w:tcMar>
            <w:vAlign w:val="center"/>
          </w:tcPr>
          <w:p w14:paraId="38E4831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w:t>
            </w:r>
          </w:p>
        </w:tc>
        <w:tc>
          <w:tcPr>
            <w:tcW w:w="4188" w:type="dxa"/>
            <w:tcMar>
              <w:top w:w="0" w:type="dxa"/>
              <w:left w:w="105" w:type="dxa"/>
              <w:bottom w:w="0" w:type="dxa"/>
              <w:right w:w="105" w:type="dxa"/>
            </w:tcMar>
            <w:vAlign w:val="center"/>
          </w:tcPr>
          <w:p w14:paraId="6349C2CA">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项目人员资质情况符合合同要求。</w:t>
            </w:r>
          </w:p>
          <w:p w14:paraId="6AAD910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人员资质不符合合同规定要求，每出现一种情况扣1分，扣完为止。</w:t>
            </w:r>
          </w:p>
        </w:tc>
        <w:tc>
          <w:tcPr>
            <w:tcW w:w="612" w:type="dxa"/>
            <w:tcMar>
              <w:top w:w="0" w:type="dxa"/>
              <w:left w:w="105" w:type="dxa"/>
              <w:bottom w:w="0" w:type="dxa"/>
              <w:right w:w="105" w:type="dxa"/>
            </w:tcMar>
            <w:vAlign w:val="center"/>
          </w:tcPr>
          <w:p w14:paraId="6F5AF0B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w:t>
            </w:r>
          </w:p>
        </w:tc>
        <w:tc>
          <w:tcPr>
            <w:tcW w:w="655" w:type="dxa"/>
            <w:tcMar>
              <w:top w:w="0" w:type="dxa"/>
              <w:left w:w="105" w:type="dxa"/>
              <w:bottom w:w="0" w:type="dxa"/>
              <w:right w:w="105" w:type="dxa"/>
            </w:tcMar>
            <w:vAlign w:val="center"/>
          </w:tcPr>
          <w:p w14:paraId="6071637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7E67501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4538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B60D8D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0D99DD0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1.2能力建设</w:t>
            </w:r>
          </w:p>
        </w:tc>
        <w:tc>
          <w:tcPr>
            <w:tcW w:w="612" w:type="dxa"/>
            <w:tcMar>
              <w:top w:w="0" w:type="dxa"/>
              <w:left w:w="105" w:type="dxa"/>
              <w:bottom w:w="0" w:type="dxa"/>
              <w:right w:w="105" w:type="dxa"/>
            </w:tcMar>
            <w:vAlign w:val="center"/>
          </w:tcPr>
          <w:p w14:paraId="1030ECE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1.2.1继续教育</w:t>
            </w:r>
          </w:p>
        </w:tc>
        <w:tc>
          <w:tcPr>
            <w:tcW w:w="623" w:type="dxa"/>
            <w:tcMar>
              <w:top w:w="0" w:type="dxa"/>
              <w:left w:w="105" w:type="dxa"/>
              <w:bottom w:w="0" w:type="dxa"/>
              <w:right w:w="105" w:type="dxa"/>
            </w:tcMar>
            <w:vAlign w:val="center"/>
          </w:tcPr>
          <w:p w14:paraId="574EC60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192093ED">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项目人员参加机构或外部培训，加强继续教育，不断提升自身专业服务和管理能力，年度人均继续教育学时达到36学时及以上得满分（评估周期不满一年的按月份进行折算），每少5学时扣0.1分，扣完为止。</w:t>
            </w:r>
          </w:p>
        </w:tc>
        <w:tc>
          <w:tcPr>
            <w:tcW w:w="612" w:type="dxa"/>
            <w:tcMar>
              <w:top w:w="0" w:type="dxa"/>
              <w:left w:w="105" w:type="dxa"/>
              <w:bottom w:w="0" w:type="dxa"/>
              <w:right w:w="105" w:type="dxa"/>
            </w:tcMar>
            <w:vAlign w:val="center"/>
          </w:tcPr>
          <w:p w14:paraId="6A3156F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3F37C7C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F8B418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055A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A17299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2E7C28C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567AC89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1.2.2督导支持</w:t>
            </w:r>
          </w:p>
        </w:tc>
        <w:tc>
          <w:tcPr>
            <w:tcW w:w="623" w:type="dxa"/>
            <w:tcMar>
              <w:top w:w="0" w:type="dxa"/>
              <w:left w:w="105" w:type="dxa"/>
              <w:bottom w:w="0" w:type="dxa"/>
              <w:right w:w="105" w:type="dxa"/>
            </w:tcMar>
            <w:vAlign w:val="center"/>
          </w:tcPr>
          <w:p w14:paraId="29509FD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1CF48063">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项目督导为项目人员提供专业督导。</w:t>
            </w:r>
          </w:p>
          <w:p w14:paraId="732B43EC">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（1）机构配置符合条件的督导人员提供支持，并能开展督导工作赋0-0.5分。</w:t>
            </w:r>
          </w:p>
          <w:p w14:paraId="525794AC">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（2）督导计划和内容符合项目人员需求，有利于推动项目人员成长发展和项目专业服务开展，视情况赋0-0.5分。</w:t>
            </w:r>
          </w:p>
        </w:tc>
        <w:tc>
          <w:tcPr>
            <w:tcW w:w="612" w:type="dxa"/>
            <w:tcMar>
              <w:top w:w="0" w:type="dxa"/>
              <w:left w:w="105" w:type="dxa"/>
              <w:bottom w:w="0" w:type="dxa"/>
              <w:right w:w="105" w:type="dxa"/>
            </w:tcMar>
            <w:vAlign w:val="center"/>
          </w:tcPr>
          <w:p w14:paraId="7789325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6F33349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2F4F66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40D9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415949F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2.组织运营管理（4分）</w:t>
            </w:r>
          </w:p>
        </w:tc>
        <w:tc>
          <w:tcPr>
            <w:tcW w:w="623" w:type="dxa"/>
            <w:vMerge w:val="restart"/>
            <w:tcMar>
              <w:top w:w="0" w:type="dxa"/>
              <w:left w:w="105" w:type="dxa"/>
              <w:bottom w:w="0" w:type="dxa"/>
              <w:right w:w="105" w:type="dxa"/>
            </w:tcMar>
            <w:vAlign w:val="center"/>
          </w:tcPr>
          <w:p w14:paraId="59951C0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2.1制度建设</w:t>
            </w:r>
          </w:p>
        </w:tc>
        <w:tc>
          <w:tcPr>
            <w:tcW w:w="612" w:type="dxa"/>
            <w:tcMar>
              <w:top w:w="0" w:type="dxa"/>
              <w:left w:w="105" w:type="dxa"/>
              <w:bottom w:w="0" w:type="dxa"/>
              <w:right w:w="105" w:type="dxa"/>
            </w:tcMar>
            <w:vAlign w:val="center"/>
          </w:tcPr>
          <w:p w14:paraId="13A9EC6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2.1.1制度制定</w:t>
            </w:r>
          </w:p>
        </w:tc>
        <w:tc>
          <w:tcPr>
            <w:tcW w:w="623" w:type="dxa"/>
            <w:tcMar>
              <w:top w:w="0" w:type="dxa"/>
              <w:left w:w="105" w:type="dxa"/>
              <w:bottom w:w="0" w:type="dxa"/>
              <w:right w:w="105" w:type="dxa"/>
            </w:tcMar>
            <w:vAlign w:val="center"/>
          </w:tcPr>
          <w:p w14:paraId="31B7234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38E0937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为确保良好运营，项目制定了各项管理制度。</w:t>
            </w:r>
          </w:p>
          <w:p w14:paraId="2BEAD0B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（1）包括服务管理、档案管理、沟通管理等管理制度，视制度的完善情况赋0-0.5分。</w:t>
            </w:r>
          </w:p>
          <w:p w14:paraId="27C6441C">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（2）项目根据自身实际情况，制定符合项目实际运作的管理制度赋0-0.5分。</w:t>
            </w:r>
          </w:p>
        </w:tc>
        <w:tc>
          <w:tcPr>
            <w:tcW w:w="612" w:type="dxa"/>
            <w:tcMar>
              <w:top w:w="0" w:type="dxa"/>
              <w:left w:w="105" w:type="dxa"/>
              <w:bottom w:w="0" w:type="dxa"/>
              <w:right w:w="105" w:type="dxa"/>
            </w:tcMar>
            <w:vAlign w:val="center"/>
          </w:tcPr>
          <w:p w14:paraId="554B83C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2655D19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709D444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D33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2B3BF2F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6E12E8D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6888041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2.1.2制度执行</w:t>
            </w:r>
          </w:p>
        </w:tc>
        <w:tc>
          <w:tcPr>
            <w:tcW w:w="623" w:type="dxa"/>
            <w:tcMar>
              <w:top w:w="0" w:type="dxa"/>
              <w:left w:w="105" w:type="dxa"/>
              <w:bottom w:w="0" w:type="dxa"/>
              <w:right w:w="105" w:type="dxa"/>
            </w:tcMar>
            <w:vAlign w:val="center"/>
          </w:tcPr>
          <w:p w14:paraId="5CF948A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4B967635">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项目指定的各项管理制度合理，能够得到良好贯彻实施，视制度执行情况赋分，完全按照制度执行最高得1分；部分得到执行最高得0.5分；没有执行得0分。</w:t>
            </w:r>
          </w:p>
        </w:tc>
        <w:tc>
          <w:tcPr>
            <w:tcW w:w="612" w:type="dxa"/>
            <w:tcMar>
              <w:top w:w="0" w:type="dxa"/>
              <w:left w:w="105" w:type="dxa"/>
              <w:bottom w:w="0" w:type="dxa"/>
              <w:right w:w="105" w:type="dxa"/>
            </w:tcMar>
            <w:vAlign w:val="center"/>
          </w:tcPr>
          <w:p w14:paraId="09B0854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11A21C9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C96828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7BA4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B93920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24C2434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2.2服务监管</w:t>
            </w:r>
          </w:p>
        </w:tc>
        <w:tc>
          <w:tcPr>
            <w:tcW w:w="612" w:type="dxa"/>
            <w:tcMar>
              <w:top w:w="0" w:type="dxa"/>
              <w:left w:w="105" w:type="dxa"/>
              <w:bottom w:w="0" w:type="dxa"/>
              <w:right w:w="105" w:type="dxa"/>
            </w:tcMar>
            <w:vAlign w:val="center"/>
          </w:tcPr>
          <w:p w14:paraId="6FEC874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2.2.1评价考核</w:t>
            </w:r>
          </w:p>
        </w:tc>
        <w:tc>
          <w:tcPr>
            <w:tcW w:w="623" w:type="dxa"/>
            <w:tcMar>
              <w:top w:w="0" w:type="dxa"/>
              <w:left w:w="105" w:type="dxa"/>
              <w:bottom w:w="0" w:type="dxa"/>
              <w:right w:w="105" w:type="dxa"/>
            </w:tcMar>
            <w:vAlign w:val="center"/>
          </w:tcPr>
          <w:p w14:paraId="0005A18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624F6714">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机构针对项目或员工有相应的评价考核制度并能得到有效执行得1分；如制定评价考核制度无执行得0.5分；无制定并无执行得0分。</w:t>
            </w:r>
          </w:p>
        </w:tc>
        <w:tc>
          <w:tcPr>
            <w:tcW w:w="612" w:type="dxa"/>
            <w:tcMar>
              <w:top w:w="0" w:type="dxa"/>
              <w:left w:w="105" w:type="dxa"/>
              <w:bottom w:w="0" w:type="dxa"/>
              <w:right w:w="105" w:type="dxa"/>
            </w:tcMar>
            <w:vAlign w:val="center"/>
          </w:tcPr>
          <w:p w14:paraId="6AC783C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740CED0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587019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15EB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0E215B3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0474F37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6D7EE4D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2.2.2服务监管</w:t>
            </w:r>
          </w:p>
        </w:tc>
        <w:tc>
          <w:tcPr>
            <w:tcW w:w="623" w:type="dxa"/>
            <w:tcMar>
              <w:top w:w="0" w:type="dxa"/>
              <w:left w:w="105" w:type="dxa"/>
              <w:bottom w:w="0" w:type="dxa"/>
              <w:right w:w="105" w:type="dxa"/>
            </w:tcMar>
            <w:vAlign w:val="center"/>
          </w:tcPr>
          <w:p w14:paraId="50B9039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4188" w:type="dxa"/>
            <w:tcMar>
              <w:top w:w="0" w:type="dxa"/>
              <w:left w:w="105" w:type="dxa"/>
              <w:bottom w:w="0" w:type="dxa"/>
              <w:right w:w="105" w:type="dxa"/>
            </w:tcMar>
            <w:vAlign w:val="center"/>
          </w:tcPr>
          <w:p w14:paraId="377E154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（1）机构通过会议等形式对项目及人员提供服务支持，协助其服务完善发展，为项目发展提供发展建议，视情况得0-0.5分。</w:t>
            </w:r>
          </w:p>
          <w:p w14:paraId="3E276E70">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（2）机构通过评估或其它形式，结合服务管理加强对项目的服务质量把控。视情况得0-0.5分。</w:t>
            </w:r>
          </w:p>
        </w:tc>
        <w:tc>
          <w:tcPr>
            <w:tcW w:w="612" w:type="dxa"/>
            <w:tcMar>
              <w:top w:w="0" w:type="dxa"/>
              <w:left w:w="105" w:type="dxa"/>
              <w:bottom w:w="0" w:type="dxa"/>
              <w:right w:w="105" w:type="dxa"/>
            </w:tcMar>
            <w:vAlign w:val="center"/>
          </w:tcPr>
          <w:p w14:paraId="112E97C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w:t>
            </w:r>
          </w:p>
        </w:tc>
        <w:tc>
          <w:tcPr>
            <w:tcW w:w="655" w:type="dxa"/>
            <w:tcMar>
              <w:top w:w="0" w:type="dxa"/>
              <w:left w:w="105" w:type="dxa"/>
              <w:bottom w:w="0" w:type="dxa"/>
              <w:right w:w="105" w:type="dxa"/>
            </w:tcMar>
            <w:vAlign w:val="center"/>
          </w:tcPr>
          <w:p w14:paraId="3E55D39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7484F8A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763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1E231A9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3.服务设计与管理（32分）</w:t>
            </w:r>
          </w:p>
        </w:tc>
        <w:tc>
          <w:tcPr>
            <w:tcW w:w="623" w:type="dxa"/>
            <w:vMerge w:val="restart"/>
            <w:tcMar>
              <w:top w:w="0" w:type="dxa"/>
              <w:left w:w="105" w:type="dxa"/>
              <w:bottom w:w="0" w:type="dxa"/>
              <w:right w:w="105" w:type="dxa"/>
            </w:tcMar>
            <w:vAlign w:val="center"/>
          </w:tcPr>
          <w:p w14:paraId="40E2F1A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3.1服务设计</w:t>
            </w:r>
          </w:p>
        </w:tc>
        <w:tc>
          <w:tcPr>
            <w:tcW w:w="612" w:type="dxa"/>
            <w:tcMar>
              <w:top w:w="0" w:type="dxa"/>
              <w:left w:w="105" w:type="dxa"/>
              <w:bottom w:w="0" w:type="dxa"/>
              <w:right w:w="105" w:type="dxa"/>
            </w:tcMar>
            <w:vAlign w:val="center"/>
          </w:tcPr>
          <w:p w14:paraId="1BDAB9F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3.1.1需求评估</w:t>
            </w:r>
          </w:p>
        </w:tc>
        <w:tc>
          <w:tcPr>
            <w:tcW w:w="623" w:type="dxa"/>
            <w:tcMar>
              <w:top w:w="0" w:type="dxa"/>
              <w:left w:w="105" w:type="dxa"/>
              <w:bottom w:w="0" w:type="dxa"/>
              <w:right w:w="105" w:type="dxa"/>
            </w:tcMar>
            <w:vAlign w:val="center"/>
          </w:tcPr>
          <w:p w14:paraId="54C53F7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4188" w:type="dxa"/>
            <w:tcMar>
              <w:top w:w="0" w:type="dxa"/>
              <w:left w:w="105" w:type="dxa"/>
              <w:bottom w:w="0" w:type="dxa"/>
              <w:right w:w="105" w:type="dxa"/>
            </w:tcMar>
            <w:vAlign w:val="center"/>
          </w:tcPr>
          <w:p w14:paraId="0B16109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（1）开展需求调查分析，并形成调查报告，根据抽样方法、调查内容等视情况得0-2分；</w:t>
            </w:r>
          </w:p>
          <w:p w14:paraId="0F6779C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（2）需求调查形成报告并能够明确项目服务对象的问题或需求，对开展服务指引性强，视情况得0-2分。</w:t>
            </w:r>
          </w:p>
          <w:p w14:paraId="19CACAC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（3）服务群体需求具有广泛性和迫切性，项目立项必要性和迫切性强，视情况得0-2分。</w:t>
            </w:r>
          </w:p>
        </w:tc>
        <w:tc>
          <w:tcPr>
            <w:tcW w:w="612" w:type="dxa"/>
            <w:tcMar>
              <w:top w:w="0" w:type="dxa"/>
              <w:left w:w="105" w:type="dxa"/>
              <w:bottom w:w="0" w:type="dxa"/>
              <w:right w:w="105" w:type="dxa"/>
            </w:tcMar>
            <w:vAlign w:val="center"/>
          </w:tcPr>
          <w:p w14:paraId="74CE402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655" w:type="dxa"/>
            <w:tcMar>
              <w:top w:w="0" w:type="dxa"/>
              <w:left w:w="105" w:type="dxa"/>
              <w:bottom w:w="0" w:type="dxa"/>
              <w:right w:w="105" w:type="dxa"/>
            </w:tcMar>
            <w:vAlign w:val="center"/>
          </w:tcPr>
          <w:p w14:paraId="3A9A0CA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19E1DFA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603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CF505F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1A9FA70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526C7FD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3.1.2目标设定</w:t>
            </w:r>
          </w:p>
        </w:tc>
        <w:tc>
          <w:tcPr>
            <w:tcW w:w="623" w:type="dxa"/>
            <w:tcMar>
              <w:top w:w="0" w:type="dxa"/>
              <w:left w:w="105" w:type="dxa"/>
              <w:bottom w:w="0" w:type="dxa"/>
              <w:right w:w="105" w:type="dxa"/>
            </w:tcMar>
            <w:vAlign w:val="center"/>
          </w:tcPr>
          <w:p w14:paraId="30A6981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4188" w:type="dxa"/>
            <w:tcMar>
              <w:top w:w="0" w:type="dxa"/>
              <w:left w:w="105" w:type="dxa"/>
              <w:bottom w:w="0" w:type="dxa"/>
              <w:right w:w="105" w:type="dxa"/>
            </w:tcMar>
            <w:vAlign w:val="center"/>
          </w:tcPr>
          <w:p w14:paraId="26356033">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（1）项目设计服务目标与服务对象需求相对应，视情况得0-2分。</w:t>
            </w:r>
          </w:p>
          <w:p w14:paraId="4F416437">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（2）项目总目标清晰，具体目标设定科学合理，清晰可测量，能够聚焦服务对象的改变和影响，视情况得0-2分。</w:t>
            </w:r>
          </w:p>
        </w:tc>
        <w:tc>
          <w:tcPr>
            <w:tcW w:w="612" w:type="dxa"/>
            <w:tcMar>
              <w:top w:w="0" w:type="dxa"/>
              <w:left w:w="105" w:type="dxa"/>
              <w:bottom w:w="0" w:type="dxa"/>
              <w:right w:w="105" w:type="dxa"/>
            </w:tcMar>
            <w:vAlign w:val="center"/>
          </w:tcPr>
          <w:p w14:paraId="67980B9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655" w:type="dxa"/>
            <w:tcMar>
              <w:top w:w="0" w:type="dxa"/>
              <w:left w:w="105" w:type="dxa"/>
              <w:bottom w:w="0" w:type="dxa"/>
              <w:right w:w="105" w:type="dxa"/>
            </w:tcMar>
            <w:vAlign w:val="center"/>
          </w:tcPr>
          <w:p w14:paraId="36BB2B5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228293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56E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131EC78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0C9E169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1586574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3.1.3制定计划</w:t>
            </w:r>
          </w:p>
        </w:tc>
        <w:tc>
          <w:tcPr>
            <w:tcW w:w="623" w:type="dxa"/>
            <w:tcMar>
              <w:top w:w="0" w:type="dxa"/>
              <w:left w:w="105" w:type="dxa"/>
              <w:bottom w:w="0" w:type="dxa"/>
              <w:right w:w="105" w:type="dxa"/>
            </w:tcMar>
            <w:vAlign w:val="center"/>
          </w:tcPr>
          <w:p w14:paraId="6843AED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7</w:t>
            </w:r>
          </w:p>
        </w:tc>
        <w:tc>
          <w:tcPr>
            <w:tcW w:w="4188" w:type="dxa"/>
            <w:tcMar>
              <w:top w:w="0" w:type="dxa"/>
              <w:left w:w="105" w:type="dxa"/>
              <w:bottom w:w="0" w:type="dxa"/>
              <w:right w:w="105" w:type="dxa"/>
            </w:tcMar>
            <w:vAlign w:val="center"/>
          </w:tcPr>
          <w:p w14:paraId="0AC66FB7">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项目制定年度服务计划。</w:t>
            </w:r>
          </w:p>
          <w:p w14:paraId="189895D5">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（1）服务对象群体界定清晰，服务内容设计围绕服务群体设计，视情况得0-2分。</w:t>
            </w:r>
          </w:p>
          <w:p w14:paraId="45F1A9BA">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（2）服务设计与服务目标匹配度高，服务内容丰富多样，工作手法能够体现专业性，视情况得0-3分。</w:t>
            </w:r>
          </w:p>
          <w:p w14:paraId="2EE51C3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（3）服务计划时间安排清晰合理，分工明确，视情况得0-2分。</w:t>
            </w:r>
          </w:p>
        </w:tc>
        <w:tc>
          <w:tcPr>
            <w:tcW w:w="612" w:type="dxa"/>
            <w:tcMar>
              <w:top w:w="0" w:type="dxa"/>
              <w:left w:w="105" w:type="dxa"/>
              <w:bottom w:w="0" w:type="dxa"/>
              <w:right w:w="105" w:type="dxa"/>
            </w:tcMar>
            <w:vAlign w:val="center"/>
          </w:tcPr>
          <w:p w14:paraId="34A4EAE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7</w:t>
            </w:r>
          </w:p>
        </w:tc>
        <w:tc>
          <w:tcPr>
            <w:tcW w:w="655" w:type="dxa"/>
            <w:tcMar>
              <w:top w:w="0" w:type="dxa"/>
              <w:left w:w="105" w:type="dxa"/>
              <w:bottom w:w="0" w:type="dxa"/>
              <w:right w:w="105" w:type="dxa"/>
            </w:tcMar>
            <w:vAlign w:val="center"/>
          </w:tcPr>
          <w:p w14:paraId="70EA98B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C5106C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172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6A994EF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6D891D1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3.2服务管理</w:t>
            </w:r>
          </w:p>
        </w:tc>
        <w:tc>
          <w:tcPr>
            <w:tcW w:w="612" w:type="dxa"/>
            <w:tcMar>
              <w:top w:w="0" w:type="dxa"/>
              <w:left w:w="105" w:type="dxa"/>
              <w:bottom w:w="0" w:type="dxa"/>
              <w:right w:w="105" w:type="dxa"/>
            </w:tcMar>
            <w:vAlign w:val="center"/>
          </w:tcPr>
          <w:p w14:paraId="6388D0C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3.2.1计划执行</w:t>
            </w:r>
          </w:p>
        </w:tc>
        <w:tc>
          <w:tcPr>
            <w:tcW w:w="623" w:type="dxa"/>
            <w:tcMar>
              <w:top w:w="0" w:type="dxa"/>
              <w:left w:w="105" w:type="dxa"/>
              <w:bottom w:w="0" w:type="dxa"/>
              <w:right w:w="105" w:type="dxa"/>
            </w:tcMar>
            <w:vAlign w:val="center"/>
          </w:tcPr>
          <w:p w14:paraId="60B1AB6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7</w:t>
            </w:r>
          </w:p>
        </w:tc>
        <w:tc>
          <w:tcPr>
            <w:tcW w:w="4188" w:type="dxa"/>
            <w:tcMar>
              <w:top w:w="0" w:type="dxa"/>
              <w:left w:w="105" w:type="dxa"/>
              <w:bottom w:w="0" w:type="dxa"/>
              <w:right w:w="105" w:type="dxa"/>
            </w:tcMar>
            <w:vAlign w:val="center"/>
          </w:tcPr>
          <w:p w14:paraId="76CACBB3">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（1）项目对实施进度严格管理，年度服务计划有序开展，执行情况良好，得0-2分；</w:t>
            </w:r>
          </w:p>
          <w:p w14:paraId="7C8D1C81">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（2）项目投入人员及服务产出合理，社工专业服务开展有保障，视情况得0-2分。</w:t>
            </w:r>
          </w:p>
          <w:p w14:paraId="0C3C0BF7">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（3）项目开展的服务内容具有专业理论支撑，能够体现社工服务的专业性，视情况得0-3分。</w:t>
            </w:r>
          </w:p>
        </w:tc>
        <w:tc>
          <w:tcPr>
            <w:tcW w:w="612" w:type="dxa"/>
            <w:tcMar>
              <w:top w:w="0" w:type="dxa"/>
              <w:left w:w="105" w:type="dxa"/>
              <w:bottom w:w="0" w:type="dxa"/>
              <w:right w:w="105" w:type="dxa"/>
            </w:tcMar>
            <w:vAlign w:val="center"/>
          </w:tcPr>
          <w:p w14:paraId="5DDBCC8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7</w:t>
            </w:r>
          </w:p>
        </w:tc>
        <w:tc>
          <w:tcPr>
            <w:tcW w:w="655" w:type="dxa"/>
            <w:tcMar>
              <w:top w:w="0" w:type="dxa"/>
              <w:left w:w="105" w:type="dxa"/>
              <w:bottom w:w="0" w:type="dxa"/>
              <w:right w:w="105" w:type="dxa"/>
            </w:tcMar>
            <w:vAlign w:val="center"/>
          </w:tcPr>
          <w:p w14:paraId="1AE455C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51EB4F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97F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68B3C11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177014D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681C17D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3.2.2服务宣传</w:t>
            </w:r>
          </w:p>
        </w:tc>
        <w:tc>
          <w:tcPr>
            <w:tcW w:w="623" w:type="dxa"/>
            <w:tcMar>
              <w:top w:w="0" w:type="dxa"/>
              <w:left w:w="105" w:type="dxa"/>
              <w:bottom w:w="0" w:type="dxa"/>
              <w:right w:w="105" w:type="dxa"/>
            </w:tcMar>
            <w:vAlign w:val="center"/>
          </w:tcPr>
          <w:p w14:paraId="184FA38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59031F6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项目制备服务说明材料，清楚陈述项目宗旨、目标、服务对象和提供服务的形式，公众可随时索取、查阅；宣传形式和渠道多样化，提高服务知晓度和社会影响力。</w:t>
            </w:r>
          </w:p>
        </w:tc>
        <w:tc>
          <w:tcPr>
            <w:tcW w:w="612" w:type="dxa"/>
            <w:tcMar>
              <w:top w:w="0" w:type="dxa"/>
              <w:left w:w="105" w:type="dxa"/>
              <w:bottom w:w="0" w:type="dxa"/>
              <w:right w:w="105" w:type="dxa"/>
            </w:tcMar>
            <w:vAlign w:val="center"/>
          </w:tcPr>
          <w:p w14:paraId="26C709E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2A4A276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C23C74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70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ABFA2A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20B97EF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36CF29D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3.2.3权益保障</w:t>
            </w:r>
          </w:p>
        </w:tc>
        <w:tc>
          <w:tcPr>
            <w:tcW w:w="623" w:type="dxa"/>
            <w:tcMar>
              <w:top w:w="0" w:type="dxa"/>
              <w:left w:w="105" w:type="dxa"/>
              <w:bottom w:w="0" w:type="dxa"/>
              <w:right w:w="105" w:type="dxa"/>
            </w:tcMar>
            <w:vAlign w:val="center"/>
          </w:tcPr>
          <w:p w14:paraId="2B11A47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476C457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项目设有保障服务对象权益免受侵害（包括人身安全、隐私保护、个人信息保密等）相关政策或措施，相关制度或措施可供员工、服务对象及公众查阅、获悉。</w:t>
            </w:r>
          </w:p>
        </w:tc>
        <w:tc>
          <w:tcPr>
            <w:tcW w:w="612" w:type="dxa"/>
            <w:tcMar>
              <w:top w:w="0" w:type="dxa"/>
              <w:left w:w="105" w:type="dxa"/>
              <w:bottom w:w="0" w:type="dxa"/>
              <w:right w:w="105" w:type="dxa"/>
            </w:tcMar>
            <w:vAlign w:val="center"/>
          </w:tcPr>
          <w:p w14:paraId="182EE6D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239BC2A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CBC3A4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5F9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5EF260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086A889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1406537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3.2.4服务质量管理</w:t>
            </w:r>
          </w:p>
        </w:tc>
        <w:tc>
          <w:tcPr>
            <w:tcW w:w="623" w:type="dxa"/>
            <w:tcMar>
              <w:top w:w="0" w:type="dxa"/>
              <w:left w:w="105" w:type="dxa"/>
              <w:bottom w:w="0" w:type="dxa"/>
              <w:right w:w="105" w:type="dxa"/>
            </w:tcMar>
            <w:vAlign w:val="center"/>
          </w:tcPr>
          <w:p w14:paraId="024DBFA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4188" w:type="dxa"/>
            <w:tcMar>
              <w:top w:w="0" w:type="dxa"/>
              <w:left w:w="105" w:type="dxa"/>
              <w:bottom w:w="0" w:type="dxa"/>
              <w:right w:w="105" w:type="dxa"/>
            </w:tcMar>
            <w:vAlign w:val="center"/>
          </w:tcPr>
          <w:p w14:paraId="109968F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项目在评估周期内结合满意度调查、聚焦小组、座谈会、问卷调查、自我反思与检讨等形式开展服务质量监控工作，形成服务质量监控报告且报告内容可客观反映岗位服务质量和服务成效。视情况赋0-4分。</w:t>
            </w:r>
          </w:p>
        </w:tc>
        <w:tc>
          <w:tcPr>
            <w:tcW w:w="612" w:type="dxa"/>
            <w:tcMar>
              <w:top w:w="0" w:type="dxa"/>
              <w:left w:w="105" w:type="dxa"/>
              <w:bottom w:w="0" w:type="dxa"/>
              <w:right w:w="105" w:type="dxa"/>
            </w:tcMar>
            <w:vAlign w:val="center"/>
          </w:tcPr>
          <w:p w14:paraId="04CDFF2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655" w:type="dxa"/>
            <w:tcMar>
              <w:top w:w="0" w:type="dxa"/>
              <w:left w:w="105" w:type="dxa"/>
              <w:bottom w:w="0" w:type="dxa"/>
              <w:right w:w="105" w:type="dxa"/>
            </w:tcMar>
            <w:vAlign w:val="center"/>
          </w:tcPr>
          <w:p w14:paraId="094994E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D8C490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7ED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04B8632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4.服务产出与成效（45分）</w:t>
            </w:r>
          </w:p>
        </w:tc>
        <w:tc>
          <w:tcPr>
            <w:tcW w:w="623" w:type="dxa"/>
            <w:tcMar>
              <w:top w:w="0" w:type="dxa"/>
              <w:left w:w="105" w:type="dxa"/>
              <w:bottom w:w="0" w:type="dxa"/>
              <w:right w:w="105" w:type="dxa"/>
            </w:tcMar>
            <w:vAlign w:val="center"/>
          </w:tcPr>
          <w:p w14:paraId="671EC1E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4.1服务指标完成情况</w:t>
            </w:r>
          </w:p>
        </w:tc>
        <w:tc>
          <w:tcPr>
            <w:tcW w:w="612" w:type="dxa"/>
            <w:tcMar>
              <w:top w:w="0" w:type="dxa"/>
              <w:left w:w="105" w:type="dxa"/>
              <w:bottom w:w="0" w:type="dxa"/>
              <w:right w:w="105" w:type="dxa"/>
            </w:tcMar>
            <w:vAlign w:val="center"/>
          </w:tcPr>
          <w:p w14:paraId="0D66CF1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4.1.1合同服务指标完成情况</w:t>
            </w:r>
          </w:p>
        </w:tc>
        <w:tc>
          <w:tcPr>
            <w:tcW w:w="623" w:type="dxa"/>
            <w:tcMar>
              <w:top w:w="0" w:type="dxa"/>
              <w:left w:w="105" w:type="dxa"/>
              <w:bottom w:w="0" w:type="dxa"/>
              <w:right w:w="105" w:type="dxa"/>
            </w:tcMar>
            <w:vAlign w:val="center"/>
          </w:tcPr>
          <w:p w14:paraId="2DC4054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4188" w:type="dxa"/>
            <w:tcMar>
              <w:top w:w="0" w:type="dxa"/>
              <w:left w:w="105" w:type="dxa"/>
              <w:bottom w:w="0" w:type="dxa"/>
              <w:right w:w="105" w:type="dxa"/>
            </w:tcMar>
            <w:vAlign w:val="center"/>
          </w:tcPr>
          <w:p w14:paraId="5E12E81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项目完成合同规定的工作内容和相应工作指标（按照评估周期进行折算），综合完成率达到100%及以上的得3分，每低一个百分点扣除0.1分，扣完为止。</w:t>
            </w:r>
          </w:p>
        </w:tc>
        <w:tc>
          <w:tcPr>
            <w:tcW w:w="612" w:type="dxa"/>
            <w:tcMar>
              <w:top w:w="0" w:type="dxa"/>
              <w:left w:w="105" w:type="dxa"/>
              <w:bottom w:w="0" w:type="dxa"/>
              <w:right w:w="105" w:type="dxa"/>
            </w:tcMar>
            <w:vAlign w:val="center"/>
          </w:tcPr>
          <w:p w14:paraId="3EA443F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655" w:type="dxa"/>
            <w:tcMar>
              <w:top w:w="0" w:type="dxa"/>
              <w:left w:w="105" w:type="dxa"/>
              <w:bottom w:w="0" w:type="dxa"/>
              <w:right w:w="105" w:type="dxa"/>
            </w:tcMar>
            <w:vAlign w:val="center"/>
          </w:tcPr>
          <w:p w14:paraId="7B8E854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8AC1A7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4FE2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67BC7B6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3842529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4.2服务内容完成情况</w:t>
            </w:r>
          </w:p>
        </w:tc>
        <w:tc>
          <w:tcPr>
            <w:tcW w:w="612" w:type="dxa"/>
            <w:tcMar>
              <w:top w:w="0" w:type="dxa"/>
              <w:left w:w="105" w:type="dxa"/>
              <w:bottom w:w="0" w:type="dxa"/>
              <w:right w:w="105" w:type="dxa"/>
            </w:tcMar>
            <w:vAlign w:val="center"/>
          </w:tcPr>
          <w:p w14:paraId="124DD38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4.2.1合同内容完成情况</w:t>
            </w:r>
          </w:p>
        </w:tc>
        <w:tc>
          <w:tcPr>
            <w:tcW w:w="623" w:type="dxa"/>
            <w:tcMar>
              <w:top w:w="0" w:type="dxa"/>
              <w:left w:w="105" w:type="dxa"/>
              <w:bottom w:w="0" w:type="dxa"/>
              <w:right w:w="105" w:type="dxa"/>
            </w:tcMar>
            <w:vAlign w:val="center"/>
          </w:tcPr>
          <w:p w14:paraId="27CB291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4188" w:type="dxa"/>
            <w:tcMar>
              <w:top w:w="0" w:type="dxa"/>
              <w:left w:w="105" w:type="dxa"/>
              <w:bottom w:w="0" w:type="dxa"/>
              <w:right w:w="105" w:type="dxa"/>
            </w:tcMar>
            <w:vAlign w:val="center"/>
          </w:tcPr>
          <w:p w14:paraId="3927386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项目能够按照合同规定内容要求开展相应服务，每少开展一项服务内容扣1分，最高扣3分。</w:t>
            </w:r>
          </w:p>
        </w:tc>
        <w:tc>
          <w:tcPr>
            <w:tcW w:w="612" w:type="dxa"/>
            <w:tcMar>
              <w:top w:w="0" w:type="dxa"/>
              <w:left w:w="105" w:type="dxa"/>
              <w:bottom w:w="0" w:type="dxa"/>
              <w:right w:w="105" w:type="dxa"/>
            </w:tcMar>
            <w:vAlign w:val="center"/>
          </w:tcPr>
          <w:p w14:paraId="279C3AD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655" w:type="dxa"/>
            <w:tcMar>
              <w:top w:w="0" w:type="dxa"/>
              <w:left w:w="105" w:type="dxa"/>
              <w:bottom w:w="0" w:type="dxa"/>
              <w:right w:w="105" w:type="dxa"/>
            </w:tcMar>
            <w:vAlign w:val="center"/>
          </w:tcPr>
          <w:p w14:paraId="238BF48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30236EB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32D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5A1B853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119FF8F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3F7DFBF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4.2.2服务档案整理情况</w:t>
            </w:r>
          </w:p>
        </w:tc>
        <w:tc>
          <w:tcPr>
            <w:tcW w:w="623" w:type="dxa"/>
            <w:tcMar>
              <w:top w:w="0" w:type="dxa"/>
              <w:left w:w="105" w:type="dxa"/>
              <w:bottom w:w="0" w:type="dxa"/>
              <w:right w:w="105" w:type="dxa"/>
            </w:tcMar>
            <w:vAlign w:val="center"/>
          </w:tcPr>
          <w:p w14:paraId="2AE77F2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3C1883B0">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项目服务档案整理完整规范，并和购买方做好协商档案保存。档案包括但不限于：需求调研、服务计划、服务开展记录、服务总结、宣传资料、影音视频等，根据档案资料的完成性进行赋分，最高2分。</w:t>
            </w:r>
          </w:p>
        </w:tc>
        <w:tc>
          <w:tcPr>
            <w:tcW w:w="612" w:type="dxa"/>
            <w:tcMar>
              <w:top w:w="0" w:type="dxa"/>
              <w:left w:w="105" w:type="dxa"/>
              <w:bottom w:w="0" w:type="dxa"/>
              <w:right w:w="105" w:type="dxa"/>
            </w:tcMar>
            <w:vAlign w:val="center"/>
          </w:tcPr>
          <w:p w14:paraId="414231D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0179F14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3E9304F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3EBF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4806353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tcMar>
              <w:top w:w="0" w:type="dxa"/>
              <w:left w:w="105" w:type="dxa"/>
              <w:bottom w:w="0" w:type="dxa"/>
              <w:right w:w="105" w:type="dxa"/>
            </w:tcMar>
            <w:vAlign w:val="center"/>
          </w:tcPr>
          <w:p w14:paraId="403A5B8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4.3服务特色及创新</w:t>
            </w:r>
          </w:p>
        </w:tc>
        <w:tc>
          <w:tcPr>
            <w:tcW w:w="612" w:type="dxa"/>
            <w:tcMar>
              <w:top w:w="0" w:type="dxa"/>
              <w:left w:w="105" w:type="dxa"/>
              <w:bottom w:w="0" w:type="dxa"/>
              <w:right w:w="105" w:type="dxa"/>
            </w:tcMar>
            <w:vAlign w:val="center"/>
          </w:tcPr>
          <w:p w14:paraId="3B8FC4D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4.3.1特色服务品牌及模式打造</w:t>
            </w:r>
          </w:p>
        </w:tc>
        <w:tc>
          <w:tcPr>
            <w:tcW w:w="623" w:type="dxa"/>
            <w:tcMar>
              <w:top w:w="0" w:type="dxa"/>
              <w:left w:w="105" w:type="dxa"/>
              <w:bottom w:w="0" w:type="dxa"/>
              <w:right w:w="105" w:type="dxa"/>
            </w:tcMar>
            <w:vAlign w:val="center"/>
          </w:tcPr>
          <w:p w14:paraId="66BF895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4188" w:type="dxa"/>
            <w:tcMar>
              <w:top w:w="0" w:type="dxa"/>
              <w:left w:w="105" w:type="dxa"/>
              <w:bottom w:w="0" w:type="dxa"/>
              <w:right w:w="105" w:type="dxa"/>
            </w:tcMar>
            <w:vAlign w:val="center"/>
          </w:tcPr>
          <w:p w14:paraId="315AC89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项目能够在服务创新和服务总结方面，形成具有特色的服务品牌或者服务模式，对行业具有一定的参考性，主要从创新性、影响力等方面进行综合评价，视情况得0-4分。</w:t>
            </w:r>
          </w:p>
        </w:tc>
        <w:tc>
          <w:tcPr>
            <w:tcW w:w="612" w:type="dxa"/>
            <w:tcMar>
              <w:top w:w="0" w:type="dxa"/>
              <w:left w:w="105" w:type="dxa"/>
              <w:bottom w:w="0" w:type="dxa"/>
              <w:right w:w="105" w:type="dxa"/>
            </w:tcMar>
            <w:vAlign w:val="center"/>
          </w:tcPr>
          <w:p w14:paraId="182E4F7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655" w:type="dxa"/>
            <w:tcMar>
              <w:top w:w="0" w:type="dxa"/>
              <w:left w:w="105" w:type="dxa"/>
              <w:bottom w:w="0" w:type="dxa"/>
              <w:right w:w="105" w:type="dxa"/>
            </w:tcMar>
            <w:vAlign w:val="center"/>
          </w:tcPr>
          <w:p w14:paraId="55AE091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4A88749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3325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77651B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tcMar>
              <w:top w:w="0" w:type="dxa"/>
              <w:left w:w="105" w:type="dxa"/>
              <w:bottom w:w="0" w:type="dxa"/>
              <w:right w:w="105" w:type="dxa"/>
            </w:tcMar>
            <w:vAlign w:val="center"/>
          </w:tcPr>
          <w:p w14:paraId="394EC8E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4.4服务目标达成</w:t>
            </w:r>
          </w:p>
        </w:tc>
        <w:tc>
          <w:tcPr>
            <w:tcW w:w="612" w:type="dxa"/>
            <w:tcMar>
              <w:top w:w="0" w:type="dxa"/>
              <w:left w:w="105" w:type="dxa"/>
              <w:bottom w:w="0" w:type="dxa"/>
              <w:right w:w="105" w:type="dxa"/>
            </w:tcMar>
            <w:vAlign w:val="center"/>
          </w:tcPr>
          <w:p w14:paraId="40ACDE5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4.4.1服务目标达成情况</w:t>
            </w:r>
          </w:p>
        </w:tc>
        <w:tc>
          <w:tcPr>
            <w:tcW w:w="623" w:type="dxa"/>
            <w:tcMar>
              <w:top w:w="0" w:type="dxa"/>
              <w:left w:w="105" w:type="dxa"/>
              <w:bottom w:w="0" w:type="dxa"/>
              <w:right w:w="105" w:type="dxa"/>
            </w:tcMar>
            <w:vAlign w:val="center"/>
          </w:tcPr>
          <w:p w14:paraId="0F4230D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4188" w:type="dxa"/>
            <w:tcMar>
              <w:top w:w="0" w:type="dxa"/>
              <w:left w:w="105" w:type="dxa"/>
              <w:bottom w:w="0" w:type="dxa"/>
              <w:right w:w="105" w:type="dxa"/>
            </w:tcMar>
            <w:vAlign w:val="center"/>
          </w:tcPr>
          <w:p w14:paraId="615471C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（1）项目能够结合成效测评针对服务目标达成情况进行测量和评价，视情况得0-2分。</w:t>
            </w:r>
          </w:p>
          <w:p w14:paraId="38318D5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（2）项目服务目标达致情况良好，服务群体影响显著，社会影响力大，视情况得0-2分。</w:t>
            </w:r>
          </w:p>
        </w:tc>
        <w:tc>
          <w:tcPr>
            <w:tcW w:w="612" w:type="dxa"/>
            <w:tcMar>
              <w:top w:w="0" w:type="dxa"/>
              <w:left w:w="105" w:type="dxa"/>
              <w:bottom w:w="0" w:type="dxa"/>
              <w:right w:w="105" w:type="dxa"/>
            </w:tcMar>
            <w:vAlign w:val="center"/>
          </w:tcPr>
          <w:p w14:paraId="3D2AF73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655" w:type="dxa"/>
            <w:tcMar>
              <w:top w:w="0" w:type="dxa"/>
              <w:left w:w="105" w:type="dxa"/>
              <w:bottom w:w="0" w:type="dxa"/>
              <w:right w:w="105" w:type="dxa"/>
            </w:tcMar>
            <w:vAlign w:val="center"/>
          </w:tcPr>
          <w:p w14:paraId="68A714C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7515CD5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1587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2DA5E8E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144751E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4.5服务满意度评价</w:t>
            </w:r>
          </w:p>
        </w:tc>
        <w:tc>
          <w:tcPr>
            <w:tcW w:w="612" w:type="dxa"/>
            <w:tcMar>
              <w:top w:w="0" w:type="dxa"/>
              <w:left w:w="105" w:type="dxa"/>
              <w:bottom w:w="0" w:type="dxa"/>
              <w:right w:w="105" w:type="dxa"/>
            </w:tcMar>
            <w:vAlign w:val="center"/>
          </w:tcPr>
          <w:p w14:paraId="647E6D3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4.5.1服务对象评价</w:t>
            </w:r>
          </w:p>
        </w:tc>
        <w:tc>
          <w:tcPr>
            <w:tcW w:w="623" w:type="dxa"/>
            <w:tcMar>
              <w:top w:w="0" w:type="dxa"/>
              <w:left w:w="105" w:type="dxa"/>
              <w:bottom w:w="0" w:type="dxa"/>
              <w:right w:w="105" w:type="dxa"/>
            </w:tcMar>
            <w:vAlign w:val="center"/>
          </w:tcPr>
          <w:p w14:paraId="133E1FD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10</w:t>
            </w:r>
          </w:p>
        </w:tc>
        <w:tc>
          <w:tcPr>
            <w:tcW w:w="4188" w:type="dxa"/>
            <w:tcMar>
              <w:top w:w="0" w:type="dxa"/>
              <w:left w:w="105" w:type="dxa"/>
              <w:bottom w:w="0" w:type="dxa"/>
              <w:right w:w="105" w:type="dxa"/>
            </w:tcMar>
            <w:vAlign w:val="center"/>
          </w:tcPr>
          <w:p w14:paraId="079E6496">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服务对象对项目及人员在服务管理、服务成效、专业能力、权益保障等方面的综合评价。</w:t>
            </w:r>
          </w:p>
        </w:tc>
        <w:tc>
          <w:tcPr>
            <w:tcW w:w="612" w:type="dxa"/>
            <w:tcMar>
              <w:top w:w="0" w:type="dxa"/>
              <w:left w:w="105" w:type="dxa"/>
              <w:bottom w:w="0" w:type="dxa"/>
              <w:right w:w="105" w:type="dxa"/>
            </w:tcMar>
            <w:vAlign w:val="center"/>
          </w:tcPr>
          <w:p w14:paraId="3BB5914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655" w:type="dxa"/>
            <w:tcMar>
              <w:top w:w="0" w:type="dxa"/>
              <w:left w:w="105" w:type="dxa"/>
              <w:bottom w:w="0" w:type="dxa"/>
              <w:right w:w="105" w:type="dxa"/>
            </w:tcMar>
            <w:vAlign w:val="center"/>
          </w:tcPr>
          <w:p w14:paraId="40FAEA1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10</w:t>
            </w:r>
          </w:p>
        </w:tc>
        <w:tc>
          <w:tcPr>
            <w:tcW w:w="467" w:type="dxa"/>
            <w:tcMar>
              <w:top w:w="0" w:type="dxa"/>
              <w:left w:w="105" w:type="dxa"/>
              <w:bottom w:w="0" w:type="dxa"/>
              <w:right w:w="105" w:type="dxa"/>
            </w:tcMar>
            <w:vAlign w:val="center"/>
          </w:tcPr>
          <w:p w14:paraId="3C4BB74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207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1D2706C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168F48E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31FEBB1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4.5.2购买单位评价</w:t>
            </w:r>
          </w:p>
        </w:tc>
        <w:tc>
          <w:tcPr>
            <w:tcW w:w="623" w:type="dxa"/>
            <w:tcMar>
              <w:top w:w="0" w:type="dxa"/>
              <w:left w:w="105" w:type="dxa"/>
              <w:bottom w:w="0" w:type="dxa"/>
              <w:right w:w="105" w:type="dxa"/>
            </w:tcMar>
            <w:vAlign w:val="center"/>
          </w:tcPr>
          <w:p w14:paraId="552D3DA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c>
          <w:tcPr>
            <w:tcW w:w="4188" w:type="dxa"/>
            <w:tcMar>
              <w:top w:w="0" w:type="dxa"/>
              <w:left w:w="105" w:type="dxa"/>
              <w:bottom w:w="0" w:type="dxa"/>
              <w:right w:w="105" w:type="dxa"/>
            </w:tcMar>
            <w:vAlign w:val="center"/>
          </w:tcPr>
          <w:p w14:paraId="72FF4979">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购买单位对项目在服务成效、沟通合作、对外宣传、社会影响等方面进行综合评价。</w:t>
            </w:r>
          </w:p>
        </w:tc>
        <w:tc>
          <w:tcPr>
            <w:tcW w:w="612" w:type="dxa"/>
            <w:tcMar>
              <w:top w:w="0" w:type="dxa"/>
              <w:left w:w="105" w:type="dxa"/>
              <w:bottom w:w="0" w:type="dxa"/>
              <w:right w:w="105" w:type="dxa"/>
            </w:tcMar>
            <w:vAlign w:val="center"/>
          </w:tcPr>
          <w:p w14:paraId="70CC926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655" w:type="dxa"/>
            <w:tcMar>
              <w:top w:w="0" w:type="dxa"/>
              <w:left w:w="105" w:type="dxa"/>
              <w:bottom w:w="0" w:type="dxa"/>
              <w:right w:w="105" w:type="dxa"/>
            </w:tcMar>
            <w:vAlign w:val="center"/>
          </w:tcPr>
          <w:p w14:paraId="218B135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5AA96E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6</w:t>
            </w:r>
          </w:p>
        </w:tc>
      </w:tr>
      <w:tr w14:paraId="0CC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266F4FC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0AADBC9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4F0EC1C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4.5.3合作单位评价</w:t>
            </w:r>
          </w:p>
        </w:tc>
        <w:tc>
          <w:tcPr>
            <w:tcW w:w="623" w:type="dxa"/>
            <w:tcMar>
              <w:top w:w="0" w:type="dxa"/>
              <w:left w:w="105" w:type="dxa"/>
              <w:bottom w:w="0" w:type="dxa"/>
              <w:right w:w="105" w:type="dxa"/>
            </w:tcMar>
            <w:vAlign w:val="center"/>
          </w:tcPr>
          <w:p w14:paraId="58B00A3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c>
          <w:tcPr>
            <w:tcW w:w="4188" w:type="dxa"/>
            <w:tcMar>
              <w:top w:w="0" w:type="dxa"/>
              <w:left w:w="105" w:type="dxa"/>
              <w:bottom w:w="0" w:type="dxa"/>
              <w:right w:w="105" w:type="dxa"/>
            </w:tcMar>
            <w:vAlign w:val="center"/>
          </w:tcPr>
          <w:p w14:paraId="547EB38C">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合作单位对项目在服务成效、沟通合作、对外宣传、社会影响等方面进行综合评价。</w:t>
            </w:r>
          </w:p>
        </w:tc>
        <w:tc>
          <w:tcPr>
            <w:tcW w:w="612" w:type="dxa"/>
            <w:tcMar>
              <w:top w:w="0" w:type="dxa"/>
              <w:left w:w="105" w:type="dxa"/>
              <w:bottom w:w="0" w:type="dxa"/>
              <w:right w:w="105" w:type="dxa"/>
            </w:tcMar>
            <w:vAlign w:val="center"/>
          </w:tcPr>
          <w:p w14:paraId="6A1E95E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655" w:type="dxa"/>
            <w:tcMar>
              <w:top w:w="0" w:type="dxa"/>
              <w:left w:w="105" w:type="dxa"/>
              <w:bottom w:w="0" w:type="dxa"/>
              <w:right w:w="105" w:type="dxa"/>
            </w:tcMar>
            <w:vAlign w:val="center"/>
          </w:tcPr>
          <w:p w14:paraId="06D5B9C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4BBD873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3</w:t>
            </w:r>
          </w:p>
        </w:tc>
      </w:tr>
      <w:tr w14:paraId="3A3C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351551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restart"/>
            <w:tcMar>
              <w:top w:w="0" w:type="dxa"/>
              <w:left w:w="105" w:type="dxa"/>
              <w:bottom w:w="0" w:type="dxa"/>
              <w:right w:w="105" w:type="dxa"/>
            </w:tcMar>
            <w:vAlign w:val="center"/>
          </w:tcPr>
          <w:p w14:paraId="4557219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4.6社会影响力</w:t>
            </w:r>
          </w:p>
        </w:tc>
        <w:tc>
          <w:tcPr>
            <w:tcW w:w="612" w:type="dxa"/>
            <w:tcMar>
              <w:top w:w="0" w:type="dxa"/>
              <w:left w:w="105" w:type="dxa"/>
              <w:bottom w:w="0" w:type="dxa"/>
              <w:right w:w="105" w:type="dxa"/>
            </w:tcMar>
            <w:vAlign w:val="center"/>
          </w:tcPr>
          <w:p w14:paraId="15B0459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4.6.1资金及物资整合</w:t>
            </w:r>
          </w:p>
        </w:tc>
        <w:tc>
          <w:tcPr>
            <w:tcW w:w="623" w:type="dxa"/>
            <w:tcMar>
              <w:top w:w="0" w:type="dxa"/>
              <w:left w:w="105" w:type="dxa"/>
              <w:bottom w:w="0" w:type="dxa"/>
              <w:right w:w="105" w:type="dxa"/>
            </w:tcMar>
            <w:vAlign w:val="center"/>
          </w:tcPr>
          <w:p w14:paraId="69CE7F8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456DE4D2">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项目整合的资金和物资资源。其中，资金资源以机构入账为准，物资资源须开具相关证明并进行折合。人均整合资金及物资资源折合人民币金额达到500元得0.2分，每增加500元加0.1分，最高得2分。</w:t>
            </w:r>
          </w:p>
        </w:tc>
        <w:tc>
          <w:tcPr>
            <w:tcW w:w="612" w:type="dxa"/>
            <w:tcMar>
              <w:top w:w="0" w:type="dxa"/>
              <w:left w:w="105" w:type="dxa"/>
              <w:bottom w:w="0" w:type="dxa"/>
              <w:right w:w="105" w:type="dxa"/>
            </w:tcMar>
            <w:vAlign w:val="center"/>
          </w:tcPr>
          <w:p w14:paraId="66867FA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3FAB9BD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1FD57D3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7BEE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5850AF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7AFB466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675C2FF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4.6.2人力资源整合</w:t>
            </w:r>
          </w:p>
        </w:tc>
        <w:tc>
          <w:tcPr>
            <w:tcW w:w="623" w:type="dxa"/>
            <w:tcMar>
              <w:top w:w="0" w:type="dxa"/>
              <w:left w:w="105" w:type="dxa"/>
              <w:bottom w:w="0" w:type="dxa"/>
              <w:right w:w="105" w:type="dxa"/>
            </w:tcMar>
            <w:vAlign w:val="center"/>
          </w:tcPr>
          <w:p w14:paraId="2E2C9D0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3FD7E0D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项目整合的志愿者、专家等人力资源参与项目服务中，人均整合人力资源10人次得0.5分，每增加10人次加0.5分，最高得2分。</w:t>
            </w:r>
          </w:p>
        </w:tc>
        <w:tc>
          <w:tcPr>
            <w:tcW w:w="612" w:type="dxa"/>
            <w:tcMar>
              <w:top w:w="0" w:type="dxa"/>
              <w:left w:w="105" w:type="dxa"/>
              <w:bottom w:w="0" w:type="dxa"/>
              <w:right w:w="105" w:type="dxa"/>
            </w:tcMar>
            <w:vAlign w:val="center"/>
          </w:tcPr>
          <w:p w14:paraId="5BDAC9D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20270F3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106DBCA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AE8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56F6B45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451A92D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03AAADF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4.6.3媒体资源整合</w:t>
            </w:r>
          </w:p>
        </w:tc>
        <w:tc>
          <w:tcPr>
            <w:tcW w:w="623" w:type="dxa"/>
            <w:tcMar>
              <w:top w:w="0" w:type="dxa"/>
              <w:left w:w="105" w:type="dxa"/>
              <w:bottom w:w="0" w:type="dxa"/>
              <w:right w:w="105" w:type="dxa"/>
            </w:tcMar>
            <w:vAlign w:val="center"/>
          </w:tcPr>
          <w:p w14:paraId="6042540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1709CB74">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评估周期内获得公共媒体对项目的正面报导，其中国家级媒体0.6分/次，省级媒体0.4分/次，市级媒体0.2分/次，镇街级媒体0.1分/次。</w:t>
            </w:r>
          </w:p>
        </w:tc>
        <w:tc>
          <w:tcPr>
            <w:tcW w:w="612" w:type="dxa"/>
            <w:tcMar>
              <w:top w:w="0" w:type="dxa"/>
              <w:left w:w="105" w:type="dxa"/>
              <w:bottom w:w="0" w:type="dxa"/>
              <w:right w:w="105" w:type="dxa"/>
            </w:tcMar>
            <w:vAlign w:val="center"/>
          </w:tcPr>
          <w:p w14:paraId="0193CC1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001BC9B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BC9ABE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EA8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1A31D6B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vMerge w:val="continue"/>
            <w:vAlign w:val="center"/>
          </w:tcPr>
          <w:p w14:paraId="4C7ACB9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12" w:type="dxa"/>
            <w:tcMar>
              <w:top w:w="0" w:type="dxa"/>
              <w:left w:w="105" w:type="dxa"/>
              <w:bottom w:w="0" w:type="dxa"/>
              <w:right w:w="105" w:type="dxa"/>
            </w:tcMar>
            <w:vAlign w:val="center"/>
          </w:tcPr>
          <w:p w14:paraId="12254F0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4.6.4研究倡导</w:t>
            </w:r>
          </w:p>
        </w:tc>
        <w:tc>
          <w:tcPr>
            <w:tcW w:w="623" w:type="dxa"/>
            <w:tcMar>
              <w:top w:w="0" w:type="dxa"/>
              <w:left w:w="105" w:type="dxa"/>
              <w:bottom w:w="0" w:type="dxa"/>
              <w:right w:w="105" w:type="dxa"/>
            </w:tcMar>
            <w:vAlign w:val="center"/>
          </w:tcPr>
          <w:p w14:paraId="72103FD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w:t>
            </w:r>
          </w:p>
        </w:tc>
        <w:tc>
          <w:tcPr>
            <w:tcW w:w="4188" w:type="dxa"/>
            <w:tcMar>
              <w:top w:w="0" w:type="dxa"/>
              <w:left w:w="105" w:type="dxa"/>
              <w:bottom w:w="0" w:type="dxa"/>
              <w:right w:w="105" w:type="dxa"/>
            </w:tcMar>
            <w:vAlign w:val="center"/>
          </w:tcPr>
          <w:p w14:paraId="34B79BF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评估周期内，项目人员进行实务总结、理论研究等情况，形成具有启发或指导价值的文章、论文、研究报告、倡导报告或政策提案，其中国家级5分/篇，省级4分/篇，市级2分/篇，镇街级0.5分/篇</w:t>
            </w:r>
          </w:p>
        </w:tc>
        <w:tc>
          <w:tcPr>
            <w:tcW w:w="612" w:type="dxa"/>
            <w:tcMar>
              <w:top w:w="0" w:type="dxa"/>
              <w:left w:w="105" w:type="dxa"/>
              <w:bottom w:w="0" w:type="dxa"/>
              <w:right w:w="105" w:type="dxa"/>
            </w:tcMar>
            <w:vAlign w:val="center"/>
          </w:tcPr>
          <w:p w14:paraId="626F52C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w:t>
            </w:r>
          </w:p>
        </w:tc>
        <w:tc>
          <w:tcPr>
            <w:tcW w:w="655" w:type="dxa"/>
            <w:tcMar>
              <w:top w:w="0" w:type="dxa"/>
              <w:left w:w="105" w:type="dxa"/>
              <w:bottom w:w="0" w:type="dxa"/>
              <w:right w:w="105" w:type="dxa"/>
            </w:tcMar>
            <w:vAlign w:val="center"/>
          </w:tcPr>
          <w:p w14:paraId="6427C1E0">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72BD12E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1BFD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69565CD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5.财务管理（5分）</w:t>
            </w:r>
          </w:p>
        </w:tc>
        <w:tc>
          <w:tcPr>
            <w:tcW w:w="1235" w:type="dxa"/>
            <w:gridSpan w:val="2"/>
            <w:tcMar>
              <w:top w:w="0" w:type="dxa"/>
              <w:left w:w="105" w:type="dxa"/>
              <w:bottom w:w="0" w:type="dxa"/>
              <w:right w:w="105" w:type="dxa"/>
            </w:tcMar>
            <w:vAlign w:val="center"/>
          </w:tcPr>
          <w:p w14:paraId="4F2C26F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5.1项目各项支出均可分类编制预算和核算</w:t>
            </w:r>
          </w:p>
        </w:tc>
        <w:tc>
          <w:tcPr>
            <w:tcW w:w="623" w:type="dxa"/>
            <w:tcMar>
              <w:top w:w="0" w:type="dxa"/>
              <w:left w:w="105" w:type="dxa"/>
              <w:bottom w:w="0" w:type="dxa"/>
              <w:right w:w="105" w:type="dxa"/>
            </w:tcMar>
            <w:vAlign w:val="center"/>
          </w:tcPr>
          <w:p w14:paraId="35018B8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4188" w:type="dxa"/>
            <w:tcMar>
              <w:top w:w="0" w:type="dxa"/>
              <w:left w:w="105" w:type="dxa"/>
              <w:bottom w:w="0" w:type="dxa"/>
              <w:right w:w="105" w:type="dxa"/>
            </w:tcMar>
            <w:vAlign w:val="center"/>
          </w:tcPr>
          <w:p w14:paraId="1360FEFE">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项目的各项支出均分类编制预算、核算。</w:t>
            </w:r>
          </w:p>
        </w:tc>
        <w:tc>
          <w:tcPr>
            <w:tcW w:w="612" w:type="dxa"/>
            <w:tcMar>
              <w:top w:w="0" w:type="dxa"/>
              <w:left w:w="105" w:type="dxa"/>
              <w:bottom w:w="0" w:type="dxa"/>
              <w:right w:w="105" w:type="dxa"/>
            </w:tcMar>
            <w:vAlign w:val="center"/>
          </w:tcPr>
          <w:p w14:paraId="341227B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655" w:type="dxa"/>
            <w:tcMar>
              <w:top w:w="0" w:type="dxa"/>
              <w:left w:w="105" w:type="dxa"/>
              <w:bottom w:w="0" w:type="dxa"/>
              <w:right w:w="105" w:type="dxa"/>
            </w:tcMar>
            <w:vAlign w:val="center"/>
          </w:tcPr>
          <w:p w14:paraId="38FADB6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7CAB44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1D31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393BA07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1235" w:type="dxa"/>
            <w:gridSpan w:val="2"/>
            <w:tcMar>
              <w:top w:w="0" w:type="dxa"/>
              <w:left w:w="105" w:type="dxa"/>
              <w:bottom w:w="0" w:type="dxa"/>
              <w:right w:w="105" w:type="dxa"/>
            </w:tcMar>
            <w:vAlign w:val="center"/>
          </w:tcPr>
          <w:p w14:paraId="17887F4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5.2各类票据使用规范</w:t>
            </w:r>
          </w:p>
        </w:tc>
        <w:tc>
          <w:tcPr>
            <w:tcW w:w="623" w:type="dxa"/>
            <w:tcMar>
              <w:top w:w="0" w:type="dxa"/>
              <w:left w:w="105" w:type="dxa"/>
              <w:bottom w:w="0" w:type="dxa"/>
              <w:right w:w="105" w:type="dxa"/>
            </w:tcMar>
            <w:vAlign w:val="center"/>
          </w:tcPr>
          <w:p w14:paraId="0D5CF59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4188" w:type="dxa"/>
            <w:tcMar>
              <w:top w:w="0" w:type="dxa"/>
              <w:left w:w="105" w:type="dxa"/>
              <w:bottom w:w="0" w:type="dxa"/>
              <w:right w:w="105" w:type="dxa"/>
            </w:tcMar>
            <w:vAlign w:val="center"/>
          </w:tcPr>
          <w:p w14:paraId="4526656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项目需严格做好各类票据的使用，确保票据规范。</w:t>
            </w:r>
          </w:p>
        </w:tc>
        <w:tc>
          <w:tcPr>
            <w:tcW w:w="612" w:type="dxa"/>
            <w:tcMar>
              <w:top w:w="0" w:type="dxa"/>
              <w:left w:w="105" w:type="dxa"/>
              <w:bottom w:w="0" w:type="dxa"/>
              <w:right w:w="105" w:type="dxa"/>
            </w:tcMar>
            <w:vAlign w:val="center"/>
          </w:tcPr>
          <w:p w14:paraId="6E0AF50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0.5</w:t>
            </w:r>
          </w:p>
        </w:tc>
        <w:tc>
          <w:tcPr>
            <w:tcW w:w="655" w:type="dxa"/>
            <w:tcMar>
              <w:top w:w="0" w:type="dxa"/>
              <w:left w:w="105" w:type="dxa"/>
              <w:bottom w:w="0" w:type="dxa"/>
              <w:right w:w="105" w:type="dxa"/>
            </w:tcMar>
            <w:vAlign w:val="center"/>
          </w:tcPr>
          <w:p w14:paraId="112F847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930159C">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0098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6401B29">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1235" w:type="dxa"/>
            <w:gridSpan w:val="2"/>
            <w:tcMar>
              <w:top w:w="0" w:type="dxa"/>
              <w:left w:w="105" w:type="dxa"/>
              <w:bottom w:w="0" w:type="dxa"/>
              <w:right w:w="105" w:type="dxa"/>
            </w:tcMar>
            <w:vAlign w:val="center"/>
          </w:tcPr>
          <w:p w14:paraId="519F4CF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5.3项目人员经费、活动经费、管理费及其他费用使用合理性</w:t>
            </w:r>
          </w:p>
        </w:tc>
        <w:tc>
          <w:tcPr>
            <w:tcW w:w="623" w:type="dxa"/>
            <w:tcMar>
              <w:top w:w="0" w:type="dxa"/>
              <w:left w:w="105" w:type="dxa"/>
              <w:bottom w:w="0" w:type="dxa"/>
              <w:right w:w="105" w:type="dxa"/>
            </w:tcMar>
            <w:vAlign w:val="center"/>
          </w:tcPr>
          <w:p w14:paraId="4DBEB24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1136DA61">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据财务管理的需要，对人员费用、活动费用、管理费或其他费用的开支比例进行核算，且各部分经费使用比例符合相关政策要求，不存在不合理的分摊。</w:t>
            </w:r>
          </w:p>
        </w:tc>
        <w:tc>
          <w:tcPr>
            <w:tcW w:w="612" w:type="dxa"/>
            <w:tcMar>
              <w:top w:w="0" w:type="dxa"/>
              <w:left w:w="105" w:type="dxa"/>
              <w:bottom w:w="0" w:type="dxa"/>
              <w:right w:w="105" w:type="dxa"/>
            </w:tcMar>
            <w:vAlign w:val="center"/>
          </w:tcPr>
          <w:p w14:paraId="0519AB1A">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3C1D17B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5AB4D72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073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789BCE4F">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1235" w:type="dxa"/>
            <w:gridSpan w:val="2"/>
            <w:tcMar>
              <w:top w:w="0" w:type="dxa"/>
              <w:left w:w="105" w:type="dxa"/>
              <w:bottom w:w="0" w:type="dxa"/>
              <w:right w:w="105" w:type="dxa"/>
            </w:tcMar>
            <w:vAlign w:val="center"/>
          </w:tcPr>
          <w:p w14:paraId="1BA3E0A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5.4项目资金专款专用</w:t>
            </w:r>
          </w:p>
        </w:tc>
        <w:tc>
          <w:tcPr>
            <w:tcW w:w="623" w:type="dxa"/>
            <w:tcMar>
              <w:top w:w="0" w:type="dxa"/>
              <w:left w:w="105" w:type="dxa"/>
              <w:bottom w:w="0" w:type="dxa"/>
              <w:right w:w="105" w:type="dxa"/>
            </w:tcMar>
            <w:vAlign w:val="center"/>
          </w:tcPr>
          <w:p w14:paraId="16788E5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4188" w:type="dxa"/>
            <w:tcMar>
              <w:top w:w="0" w:type="dxa"/>
              <w:left w:w="105" w:type="dxa"/>
              <w:bottom w:w="0" w:type="dxa"/>
              <w:right w:w="105" w:type="dxa"/>
            </w:tcMar>
            <w:vAlign w:val="center"/>
          </w:tcPr>
          <w:p w14:paraId="13735CCB">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项目资金需专款专用，如果出现资金违规使用，扣除财务部分全部分值。</w:t>
            </w:r>
          </w:p>
        </w:tc>
        <w:tc>
          <w:tcPr>
            <w:tcW w:w="612" w:type="dxa"/>
            <w:tcMar>
              <w:top w:w="0" w:type="dxa"/>
              <w:left w:w="105" w:type="dxa"/>
              <w:bottom w:w="0" w:type="dxa"/>
              <w:right w:w="105" w:type="dxa"/>
            </w:tcMar>
            <w:vAlign w:val="center"/>
          </w:tcPr>
          <w:p w14:paraId="2EE9D07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2</w:t>
            </w:r>
          </w:p>
        </w:tc>
        <w:tc>
          <w:tcPr>
            <w:tcW w:w="655" w:type="dxa"/>
            <w:tcMar>
              <w:top w:w="0" w:type="dxa"/>
              <w:left w:w="105" w:type="dxa"/>
              <w:bottom w:w="0" w:type="dxa"/>
              <w:right w:w="105" w:type="dxa"/>
            </w:tcMar>
            <w:vAlign w:val="center"/>
          </w:tcPr>
          <w:p w14:paraId="410C8611">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4AF36E7">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4D1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4" w:type="dxa"/>
            <w:gridSpan w:val="5"/>
            <w:tcMar>
              <w:top w:w="0" w:type="dxa"/>
              <w:left w:w="105" w:type="dxa"/>
              <w:bottom w:w="0" w:type="dxa"/>
              <w:right w:w="105" w:type="dxa"/>
            </w:tcMar>
            <w:vAlign w:val="center"/>
          </w:tcPr>
          <w:p w14:paraId="036B7CC6">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总分</w:t>
            </w:r>
          </w:p>
        </w:tc>
        <w:tc>
          <w:tcPr>
            <w:tcW w:w="1734" w:type="dxa"/>
            <w:gridSpan w:val="3"/>
            <w:tcMar>
              <w:top w:w="0" w:type="dxa"/>
              <w:left w:w="105" w:type="dxa"/>
              <w:bottom w:w="0" w:type="dxa"/>
              <w:right w:w="105" w:type="dxa"/>
            </w:tcMar>
            <w:vAlign w:val="center"/>
          </w:tcPr>
          <w:p w14:paraId="0269317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100分</w:t>
            </w:r>
          </w:p>
        </w:tc>
      </w:tr>
      <w:tr w14:paraId="0C94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tcMar>
              <w:top w:w="0" w:type="dxa"/>
              <w:left w:w="105" w:type="dxa"/>
              <w:bottom w:w="0" w:type="dxa"/>
              <w:right w:w="105" w:type="dxa"/>
            </w:tcMar>
            <w:vAlign w:val="center"/>
          </w:tcPr>
          <w:p w14:paraId="7FD7E7A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附加项</w:t>
            </w:r>
          </w:p>
        </w:tc>
        <w:tc>
          <w:tcPr>
            <w:tcW w:w="623" w:type="dxa"/>
            <w:tcMar>
              <w:top w:w="0" w:type="dxa"/>
              <w:left w:w="105" w:type="dxa"/>
              <w:bottom w:w="0" w:type="dxa"/>
              <w:right w:w="105" w:type="dxa"/>
            </w:tcMar>
            <w:vAlign w:val="center"/>
          </w:tcPr>
          <w:p w14:paraId="1977B60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诚信参评</w:t>
            </w:r>
          </w:p>
        </w:tc>
        <w:tc>
          <w:tcPr>
            <w:tcW w:w="612" w:type="dxa"/>
            <w:tcMar>
              <w:top w:w="0" w:type="dxa"/>
              <w:left w:w="105" w:type="dxa"/>
              <w:bottom w:w="0" w:type="dxa"/>
              <w:right w:w="105" w:type="dxa"/>
            </w:tcMar>
            <w:vAlign w:val="center"/>
          </w:tcPr>
          <w:p w14:paraId="3BF2EF3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诚信参评</w:t>
            </w:r>
          </w:p>
        </w:tc>
        <w:tc>
          <w:tcPr>
            <w:tcW w:w="623" w:type="dxa"/>
            <w:tcMar>
              <w:top w:w="0" w:type="dxa"/>
              <w:left w:w="105" w:type="dxa"/>
              <w:bottom w:w="0" w:type="dxa"/>
              <w:right w:w="105" w:type="dxa"/>
            </w:tcMar>
            <w:vAlign w:val="center"/>
          </w:tcPr>
          <w:p w14:paraId="7A780ED5">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188" w:type="dxa"/>
            <w:tcMar>
              <w:top w:w="0" w:type="dxa"/>
              <w:left w:w="105" w:type="dxa"/>
              <w:bottom w:w="0" w:type="dxa"/>
              <w:right w:w="105" w:type="dxa"/>
            </w:tcMar>
            <w:vAlign w:val="center"/>
          </w:tcPr>
          <w:p w14:paraId="5D4A734F">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项目须提供客观真实的资料和数据。如项目以欺诈、隐瞒、提供不实数据、伪造服务档案等手段参与评估，一经发现，将扣除项目1-10分，并纳入诚信黑名单。</w:t>
            </w:r>
          </w:p>
        </w:tc>
        <w:tc>
          <w:tcPr>
            <w:tcW w:w="612" w:type="dxa"/>
            <w:tcMar>
              <w:top w:w="0" w:type="dxa"/>
              <w:left w:w="105" w:type="dxa"/>
              <w:bottom w:w="0" w:type="dxa"/>
              <w:right w:w="105" w:type="dxa"/>
            </w:tcMar>
            <w:vAlign w:val="center"/>
          </w:tcPr>
          <w:p w14:paraId="0DD40088">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655" w:type="dxa"/>
            <w:tcMar>
              <w:top w:w="0" w:type="dxa"/>
              <w:left w:w="105" w:type="dxa"/>
              <w:bottom w:w="0" w:type="dxa"/>
              <w:right w:w="105" w:type="dxa"/>
            </w:tcMar>
            <w:vAlign w:val="center"/>
          </w:tcPr>
          <w:p w14:paraId="24BCA29E">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2784AEF4">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257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vAlign w:val="center"/>
          </w:tcPr>
          <w:p w14:paraId="053D5256">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p>
        </w:tc>
        <w:tc>
          <w:tcPr>
            <w:tcW w:w="623" w:type="dxa"/>
            <w:tcMar>
              <w:top w:w="0" w:type="dxa"/>
              <w:left w:w="105" w:type="dxa"/>
              <w:bottom w:w="0" w:type="dxa"/>
              <w:right w:w="105" w:type="dxa"/>
            </w:tcMar>
            <w:vAlign w:val="center"/>
          </w:tcPr>
          <w:p w14:paraId="0B784BCB">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获奖情况</w:t>
            </w:r>
          </w:p>
        </w:tc>
        <w:tc>
          <w:tcPr>
            <w:tcW w:w="612" w:type="dxa"/>
            <w:tcMar>
              <w:top w:w="0" w:type="dxa"/>
              <w:left w:w="105" w:type="dxa"/>
              <w:bottom w:w="0" w:type="dxa"/>
              <w:right w:w="105" w:type="dxa"/>
            </w:tcMar>
            <w:vAlign w:val="center"/>
          </w:tcPr>
          <w:p w14:paraId="79C8A2D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获奖情况</w:t>
            </w:r>
          </w:p>
        </w:tc>
        <w:tc>
          <w:tcPr>
            <w:tcW w:w="623" w:type="dxa"/>
            <w:tcMar>
              <w:top w:w="0" w:type="dxa"/>
              <w:left w:w="105" w:type="dxa"/>
              <w:bottom w:w="0" w:type="dxa"/>
              <w:right w:w="105" w:type="dxa"/>
            </w:tcMar>
            <w:vAlign w:val="center"/>
          </w:tcPr>
          <w:p w14:paraId="4F8A765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4188" w:type="dxa"/>
            <w:tcMar>
              <w:top w:w="0" w:type="dxa"/>
              <w:left w:w="105" w:type="dxa"/>
              <w:bottom w:w="0" w:type="dxa"/>
              <w:right w:w="105" w:type="dxa"/>
            </w:tcMar>
            <w:vAlign w:val="center"/>
          </w:tcPr>
          <w:p w14:paraId="03925ED4">
            <w:pPr>
              <w:pStyle w:val="8"/>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仿宋" w:hAnsi="仿宋" w:eastAsia="仿宋" w:cs="仿宋"/>
                <w:sz w:val="28"/>
                <w:szCs w:val="28"/>
              </w:rPr>
            </w:pPr>
            <w:r>
              <w:rPr>
                <w:rFonts w:hint="eastAsia" w:ascii="仿宋" w:hAnsi="仿宋" w:eastAsia="仿宋" w:cs="仿宋"/>
                <w:sz w:val="28"/>
                <w:szCs w:val="28"/>
              </w:rPr>
              <w:t>项目及其专职人员评估周期内获得镇（街道、园区）级及以上党政机关、行业协会等颁发的社会工作有关的荣誉表彰，国家级荣誉表彰2分/个；省级荣誉表彰1.5分/个；市级荣誉表彰1分/个；镇街级荣誉表彰0.5分/个。该指标最高得分4分。</w:t>
            </w:r>
          </w:p>
        </w:tc>
        <w:tc>
          <w:tcPr>
            <w:tcW w:w="612" w:type="dxa"/>
            <w:tcMar>
              <w:top w:w="0" w:type="dxa"/>
              <w:left w:w="105" w:type="dxa"/>
              <w:bottom w:w="0" w:type="dxa"/>
              <w:right w:w="105" w:type="dxa"/>
            </w:tcMar>
            <w:vAlign w:val="center"/>
          </w:tcPr>
          <w:p w14:paraId="1DF94132">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4</w:t>
            </w:r>
          </w:p>
        </w:tc>
        <w:tc>
          <w:tcPr>
            <w:tcW w:w="655" w:type="dxa"/>
            <w:tcMar>
              <w:top w:w="0" w:type="dxa"/>
              <w:left w:w="105" w:type="dxa"/>
              <w:bottom w:w="0" w:type="dxa"/>
              <w:right w:w="105" w:type="dxa"/>
            </w:tcMar>
            <w:vAlign w:val="center"/>
          </w:tcPr>
          <w:p w14:paraId="638C2EF3">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c>
          <w:tcPr>
            <w:tcW w:w="467" w:type="dxa"/>
            <w:tcMar>
              <w:top w:w="0" w:type="dxa"/>
              <w:left w:w="105" w:type="dxa"/>
              <w:bottom w:w="0" w:type="dxa"/>
              <w:right w:w="105" w:type="dxa"/>
            </w:tcMar>
            <w:vAlign w:val="center"/>
          </w:tcPr>
          <w:p w14:paraId="63B1079D">
            <w:pPr>
              <w:pStyle w:val="8"/>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w:t>
            </w:r>
          </w:p>
        </w:tc>
      </w:tr>
    </w:tbl>
    <w:p w14:paraId="334ABB3E">
      <w:pPr>
        <w:widowControl/>
        <w:spacing w:line="360" w:lineRule="auto"/>
        <w:rPr>
          <w:rFonts w:hint="eastAsia" w:ascii="仿宋" w:hAnsi="仿宋" w:eastAsia="仿宋" w:cs="仿宋"/>
          <w:b/>
          <w:color w:val="000000" w:themeColor="text1"/>
          <w:kern w:val="0"/>
          <w:sz w:val="28"/>
          <w:szCs w:val="28"/>
          <w:lang w:val="en-US" w:eastAsia="zh-CN"/>
          <w14:textFill>
            <w14:solidFill>
              <w14:schemeClr w14:val="tx1"/>
            </w14:solidFill>
          </w14:textFill>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7639CB9-8AB1-4FA1-840F-3CC11B45DDF6}"/>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D67BB7DC-581E-47CC-AC9E-3FCE74EA81F9}"/>
  </w:font>
  <w:font w:name="Helvetica Neue">
    <w:altName w:val="Times New Roman"/>
    <w:panose1 w:val="00000000000000000000"/>
    <w:charset w:val="00"/>
    <w:family w:val="auto"/>
    <w:pitch w:val="default"/>
    <w:sig w:usb0="00000000" w:usb1="00000000" w:usb2="00000010" w:usb3="00000000" w:csb0="0000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0D4E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A9C1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A9C1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A410D"/>
    <w:rsid w:val="0D215B97"/>
    <w:rsid w:val="2B5A410D"/>
    <w:rsid w:val="2C4A7680"/>
    <w:rsid w:val="3DEF4232"/>
    <w:rsid w:val="598E7D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1449</Words>
  <Characters>1574</Characters>
  <Lines>0</Lines>
  <Paragraphs>0</Paragraphs>
  <TotalTime>0</TotalTime>
  <ScaleCrop>false</ScaleCrop>
  <LinksUpToDate>false</LinksUpToDate>
  <CharactersWithSpaces>1581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2026-02-10T01:17:00Z</dcterms:created>
  <dc:creator>HSDG</dc:creator>
  <cp:lastModifiedBy>HSDG</cp:lastModifiedBy>
  <dcterms:modified xsi:type="dcterms:W3CDTF">2026-04-20T00:39:38Z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D621615DF695495891339C8652BD2CF3_13</vt:lpwstr>
  </property>
  <property fmtid="{D5CDD505-2E9C-101B-9397-08002B2CF9AE}" pid="4" name="KSOTemplateDocerSaveRecord">
    <vt:lpwstr>eyJoZGlkIjoiOGFjMzhkZTNmZjYxZDM3ZTI3Y2U4MTU5MzRiOTg1MWQiLCJ1c2VySWQiOiI3MzQ2NjIyNjMifQ==</vt:lpwstr>
  </property>
</Properties>
</file>