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66C871">
      <w:pPr>
        <w:rPr>
          <w:rFonts w:hint="eastAsia" w:ascii="宋体" w:hAnsi="宋体" w:eastAsia="宋体" w:cs="宋体"/>
          <w:sz w:val="22"/>
          <w:szCs w:val="22"/>
          <w:highlight w:val="none"/>
        </w:rPr>
      </w:pPr>
      <w:r>
        <w:rPr>
          <w:rFonts w:hint="eastAsia" w:ascii="宋体" w:hAnsi="宋体" w:eastAsia="宋体" w:cs="宋体"/>
          <w:b/>
          <w:sz w:val="22"/>
          <w:szCs w:val="22"/>
          <w:highlight w:val="none"/>
        </w:rPr>
        <w:t>一、项目概况：</w:t>
      </w:r>
    </w:p>
    <w:p w14:paraId="6C90251D">
      <w:pPr>
        <w:ind w:firstLine="480"/>
        <w:rPr>
          <w:rFonts w:hint="eastAsia" w:ascii="宋体" w:hAnsi="宋体" w:eastAsia="宋体" w:cs="宋体"/>
          <w:sz w:val="22"/>
          <w:szCs w:val="22"/>
          <w:highlight w:val="none"/>
        </w:rPr>
      </w:pPr>
    </w:p>
    <w:p w14:paraId="3507BB68">
      <w:pPr>
        <w:ind w:firstLine="440"/>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目前</w:t>
      </w:r>
      <w:r>
        <w:rPr>
          <w:rFonts w:hint="eastAsia" w:ascii="宋体" w:hAnsi="宋体" w:eastAsia="宋体" w:cs="宋体"/>
          <w:color w:val="000000"/>
          <w:sz w:val="22"/>
          <w:szCs w:val="22"/>
          <w:highlight w:val="none"/>
          <w:lang w:val="en-US" w:eastAsia="zh-CN"/>
        </w:rPr>
        <w:t>大朗镇</w:t>
      </w:r>
      <w:r>
        <w:rPr>
          <w:rFonts w:hint="eastAsia" w:ascii="宋体" w:hAnsi="宋体" w:eastAsia="宋体" w:cs="宋体"/>
          <w:color w:val="000000"/>
          <w:sz w:val="22"/>
          <w:szCs w:val="22"/>
          <w:highlight w:val="none"/>
        </w:rPr>
        <w:t>失能老人785名，据</w:t>
      </w:r>
      <w:r>
        <w:rPr>
          <w:rFonts w:hint="eastAsia" w:ascii="宋体" w:hAnsi="宋体" w:eastAsia="宋体" w:cs="宋体"/>
          <w:color w:val="000000"/>
          <w:sz w:val="22"/>
          <w:szCs w:val="22"/>
          <w:highlight w:val="none"/>
          <w:lang w:val="en-US" w:eastAsia="zh-CN"/>
        </w:rPr>
        <w:t>大朗镇</w:t>
      </w:r>
      <w:r>
        <w:rPr>
          <w:rFonts w:hint="eastAsia" w:ascii="宋体" w:hAnsi="宋体" w:eastAsia="宋体" w:cs="宋体"/>
          <w:color w:val="000000"/>
          <w:sz w:val="22"/>
          <w:szCs w:val="22"/>
          <w:highlight w:val="none"/>
        </w:rPr>
        <w:t>公共服务办预测，2026年我镇失能老人共有817名，包括重度失能455名、中度失能360名、轻度失能或能力完好2名。根据《东莞市人民政府办公室关于印发〈东莞市居家养老服务管理办法（修订）〉的通知》（东府办〔2021〕12号）文件精神，重度失能72</w:t>
      </w:r>
      <w:bookmarkStart w:id="0" w:name="_GoBack"/>
      <w:bookmarkEnd w:id="0"/>
      <w:r>
        <w:rPr>
          <w:rFonts w:hint="eastAsia" w:ascii="宋体" w:hAnsi="宋体" w:eastAsia="宋体" w:cs="宋体"/>
          <w:color w:val="000000"/>
          <w:sz w:val="22"/>
          <w:szCs w:val="22"/>
          <w:highlight w:val="none"/>
        </w:rPr>
        <w:t>0元/人/月、中度失能480元/人/月、轻度失能360元/人/月的标准，预计2026年居家养老服务资助经费为6,013,440元，市、镇按3:7分担，即市负担1,804,032元、镇负担4,209,408元。</w:t>
      </w:r>
    </w:p>
    <w:p w14:paraId="79E3A416">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lang w:val="en-US" w:eastAsia="zh-CN"/>
        </w:rPr>
        <w:t>同时</w:t>
      </w:r>
      <w:r>
        <w:rPr>
          <w:rFonts w:hint="eastAsia" w:ascii="宋体" w:hAnsi="宋体" w:eastAsia="宋体" w:cs="宋体"/>
          <w:color w:val="000000"/>
          <w:sz w:val="22"/>
          <w:szCs w:val="22"/>
          <w:highlight w:val="none"/>
        </w:rPr>
        <w:t>结合我镇养老服务实际，为东莞市大朗镇各村（社区）提供居家养老服务，其中</w:t>
      </w:r>
      <w:r>
        <w:rPr>
          <w:rFonts w:hint="eastAsia" w:ascii="宋体" w:hAnsi="宋体" w:eastAsia="宋体" w:cs="宋体"/>
          <w:color w:val="000000"/>
          <w:sz w:val="22"/>
          <w:szCs w:val="22"/>
          <w:highlight w:val="none"/>
          <w:lang w:val="en-US" w:eastAsia="zh-CN"/>
        </w:rPr>
        <w:t>采购</w:t>
      </w:r>
      <w:r>
        <w:rPr>
          <w:rFonts w:hint="eastAsia" w:ascii="宋体" w:hAnsi="宋体" w:eastAsia="宋体" w:cs="宋体"/>
          <w:color w:val="000000"/>
          <w:sz w:val="22"/>
          <w:szCs w:val="22"/>
          <w:highlight w:val="none"/>
        </w:rPr>
        <w:t>包1包括：长塘、黄草朗、洋乌、洋坑塘、松木山、水平、犀牛陂、屏山、宝陂、新马莲；</w:t>
      </w:r>
      <w:r>
        <w:rPr>
          <w:rFonts w:hint="eastAsia" w:ascii="宋体" w:hAnsi="宋体" w:eastAsia="宋体" w:cs="宋体"/>
          <w:color w:val="000000"/>
          <w:sz w:val="22"/>
          <w:szCs w:val="22"/>
          <w:highlight w:val="none"/>
          <w:lang w:val="en-US" w:eastAsia="zh-CN"/>
        </w:rPr>
        <w:t>采购</w:t>
      </w:r>
      <w:r>
        <w:rPr>
          <w:rFonts w:hint="eastAsia" w:ascii="宋体" w:hAnsi="宋体" w:eastAsia="宋体" w:cs="宋体"/>
          <w:color w:val="000000"/>
          <w:sz w:val="22"/>
          <w:szCs w:val="22"/>
          <w:highlight w:val="none"/>
        </w:rPr>
        <w:t>包2包括：杨涌、石厦、沙步、水口、蔡边、大井头、圣堂、巷头、巷尾、求富路、竹山、高英、黎贝岭、松柏朗、佛子凹、长富社区、大朗社区、佛新。</w:t>
      </w:r>
    </w:p>
    <w:p w14:paraId="17F98A3E">
      <w:pPr>
        <w:jc w:val="both"/>
        <w:rPr>
          <w:rFonts w:hint="eastAsia" w:ascii="宋体" w:hAnsi="宋体" w:eastAsia="宋体" w:cs="宋体"/>
          <w:sz w:val="22"/>
          <w:szCs w:val="22"/>
          <w:highlight w:val="none"/>
        </w:rPr>
      </w:pPr>
    </w:p>
    <w:p w14:paraId="2E732278">
      <w:pPr>
        <w:rPr>
          <w:rFonts w:hint="eastAsia" w:ascii="宋体" w:hAnsi="宋体" w:eastAsia="宋体" w:cs="宋体"/>
          <w:sz w:val="22"/>
          <w:szCs w:val="22"/>
          <w:highlight w:val="none"/>
        </w:rPr>
      </w:pPr>
    </w:p>
    <w:p w14:paraId="692A0340">
      <w:pPr>
        <w:ind w:firstLine="480"/>
        <w:rPr>
          <w:rFonts w:hint="eastAsia" w:ascii="宋体" w:hAnsi="宋体" w:eastAsia="宋体" w:cs="宋体"/>
          <w:sz w:val="22"/>
          <w:szCs w:val="22"/>
          <w:highlight w:val="none"/>
        </w:rPr>
      </w:pPr>
    </w:p>
    <w:p w14:paraId="329E132A">
      <w:pPr>
        <w:rPr>
          <w:rFonts w:hint="eastAsia" w:ascii="宋体" w:hAnsi="宋体" w:eastAsia="宋体" w:cs="宋体"/>
          <w:sz w:val="22"/>
          <w:szCs w:val="22"/>
          <w:highlight w:val="none"/>
        </w:rPr>
      </w:pPr>
    </w:p>
    <w:p w14:paraId="5D9B75C2">
      <w:pPr>
        <w:rPr>
          <w:rFonts w:hint="eastAsia" w:ascii="宋体" w:hAnsi="宋体" w:eastAsia="宋体" w:cs="宋体"/>
          <w:sz w:val="22"/>
          <w:szCs w:val="22"/>
          <w:highlight w:val="none"/>
        </w:rPr>
      </w:pPr>
      <w:r>
        <w:rPr>
          <w:rFonts w:hint="eastAsia" w:ascii="宋体" w:hAnsi="宋体" w:eastAsia="宋体" w:cs="宋体"/>
          <w:sz w:val="22"/>
          <w:szCs w:val="22"/>
          <w:highlight w:val="none"/>
        </w:rPr>
        <w:t>采购包1（10个村社区居家养老服务）</w:t>
      </w:r>
      <w:r>
        <w:rPr>
          <w:rFonts w:hint="eastAsia" w:ascii="宋体" w:hAnsi="宋体" w:eastAsia="宋体" w:cs="宋体"/>
          <w:b/>
          <w:sz w:val="22"/>
          <w:szCs w:val="22"/>
          <w:highlight w:val="none"/>
        </w:rPr>
        <w:t>1.主要商务要求</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03"/>
        <w:gridCol w:w="6303"/>
      </w:tblGrid>
      <w:tr w14:paraId="6B747A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3" w:type="dxa"/>
          </w:tcPr>
          <w:p w14:paraId="62A06080">
            <w:pPr>
              <w:rPr>
                <w:rFonts w:hint="eastAsia" w:ascii="宋体" w:hAnsi="宋体" w:eastAsia="宋体" w:cs="宋体"/>
                <w:sz w:val="22"/>
                <w:szCs w:val="22"/>
                <w:highlight w:val="none"/>
              </w:rPr>
            </w:pPr>
            <w:r>
              <w:rPr>
                <w:rFonts w:hint="eastAsia" w:ascii="宋体" w:hAnsi="宋体" w:eastAsia="宋体" w:cs="宋体"/>
                <w:sz w:val="22"/>
                <w:szCs w:val="22"/>
                <w:highlight w:val="none"/>
              </w:rPr>
              <w:t>标的提供的时间</w:t>
            </w:r>
          </w:p>
        </w:tc>
        <w:tc>
          <w:tcPr>
            <w:tcW w:w="6303" w:type="dxa"/>
          </w:tcPr>
          <w:p w14:paraId="0539C6AD">
            <w:pPr>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1年</w:t>
            </w:r>
            <w:r>
              <w:rPr>
                <w:rFonts w:hint="eastAsia" w:ascii="宋体" w:hAnsi="宋体" w:eastAsia="宋体" w:cs="宋体"/>
                <w:sz w:val="22"/>
                <w:szCs w:val="22"/>
                <w:highlight w:val="none"/>
              </w:rPr>
              <w:t>（</w:t>
            </w:r>
            <w:r>
              <w:rPr>
                <w:rFonts w:hint="eastAsia" w:ascii="宋体" w:hAnsi="宋体" w:eastAsia="宋体" w:cs="宋体"/>
                <w:sz w:val="22"/>
                <w:szCs w:val="22"/>
                <w:highlight w:val="none"/>
                <w:lang w:eastAsia="zh-CN"/>
              </w:rPr>
              <w:t>服务时间：2026年1月1日至12月31日</w:t>
            </w:r>
            <w:r>
              <w:rPr>
                <w:rFonts w:hint="eastAsia" w:ascii="宋体" w:hAnsi="宋体" w:eastAsia="宋体" w:cs="宋体"/>
                <w:sz w:val="22"/>
                <w:szCs w:val="22"/>
                <w:highlight w:val="none"/>
              </w:rPr>
              <w:t>）。</w:t>
            </w:r>
          </w:p>
        </w:tc>
      </w:tr>
      <w:tr w14:paraId="745ED7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3" w:type="dxa"/>
          </w:tcPr>
          <w:p w14:paraId="197EBE92">
            <w:pPr>
              <w:rPr>
                <w:rFonts w:hint="eastAsia" w:ascii="宋体" w:hAnsi="宋体" w:eastAsia="宋体" w:cs="宋体"/>
                <w:sz w:val="22"/>
                <w:szCs w:val="22"/>
                <w:highlight w:val="none"/>
              </w:rPr>
            </w:pPr>
            <w:r>
              <w:rPr>
                <w:rFonts w:hint="eastAsia" w:ascii="宋体" w:hAnsi="宋体" w:eastAsia="宋体" w:cs="宋体"/>
                <w:sz w:val="22"/>
                <w:szCs w:val="22"/>
                <w:highlight w:val="none"/>
              </w:rPr>
              <w:t>标的提供的地点</w:t>
            </w:r>
          </w:p>
        </w:tc>
        <w:tc>
          <w:tcPr>
            <w:tcW w:w="6303" w:type="dxa"/>
          </w:tcPr>
          <w:p w14:paraId="3FEF7995">
            <w:pPr>
              <w:rPr>
                <w:rFonts w:hint="eastAsia" w:ascii="宋体" w:hAnsi="宋体" w:eastAsia="宋体" w:cs="宋体"/>
                <w:sz w:val="22"/>
                <w:szCs w:val="22"/>
                <w:highlight w:val="none"/>
              </w:rPr>
            </w:pPr>
            <w:r>
              <w:rPr>
                <w:rFonts w:hint="eastAsia" w:ascii="宋体" w:hAnsi="宋体" w:eastAsia="宋体" w:cs="宋体"/>
                <w:sz w:val="22"/>
                <w:szCs w:val="22"/>
                <w:highlight w:val="none"/>
              </w:rPr>
              <w:t>采购人指定的地点。</w:t>
            </w:r>
          </w:p>
        </w:tc>
      </w:tr>
      <w:tr w14:paraId="785586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3" w:type="dxa"/>
          </w:tcPr>
          <w:p w14:paraId="59D3CDFB">
            <w:pPr>
              <w:rPr>
                <w:rFonts w:hint="eastAsia" w:ascii="宋体" w:hAnsi="宋体" w:eastAsia="宋体" w:cs="宋体"/>
                <w:sz w:val="22"/>
                <w:szCs w:val="22"/>
                <w:highlight w:val="none"/>
              </w:rPr>
            </w:pPr>
            <w:r>
              <w:rPr>
                <w:rFonts w:hint="eastAsia" w:ascii="宋体" w:hAnsi="宋体" w:eastAsia="宋体" w:cs="宋体"/>
                <w:sz w:val="22"/>
                <w:szCs w:val="22"/>
                <w:highlight w:val="none"/>
              </w:rPr>
              <w:t>付款方式</w:t>
            </w:r>
          </w:p>
        </w:tc>
        <w:tc>
          <w:tcPr>
            <w:tcW w:w="6303" w:type="dxa"/>
          </w:tcPr>
          <w:p w14:paraId="7CE1324C">
            <w:pPr>
              <w:rPr>
                <w:rFonts w:hint="eastAsia" w:ascii="宋体" w:hAnsi="宋体" w:eastAsia="宋体" w:cs="宋体"/>
                <w:sz w:val="22"/>
                <w:szCs w:val="22"/>
                <w:highlight w:val="none"/>
              </w:rPr>
            </w:pPr>
            <w:r>
              <w:rPr>
                <w:rFonts w:hint="eastAsia" w:ascii="宋体" w:hAnsi="宋体" w:eastAsia="宋体" w:cs="宋体"/>
                <w:sz w:val="22"/>
                <w:szCs w:val="22"/>
                <w:highlight w:val="none"/>
              </w:rPr>
              <w:t>1期：支付比例100%,</w:t>
            </w:r>
            <w:r>
              <w:rPr>
                <w:rFonts w:hint="eastAsia" w:ascii="宋体" w:hAnsi="宋体" w:eastAsia="宋体" w:cs="宋体"/>
                <w:sz w:val="22"/>
                <w:szCs w:val="22"/>
                <w:highlight w:val="none"/>
                <w:lang w:eastAsia="zh-CN"/>
              </w:rPr>
              <w:t>中标供应商</w:t>
            </w:r>
            <w:r>
              <w:rPr>
                <w:rFonts w:hint="eastAsia" w:ascii="宋体" w:hAnsi="宋体" w:eastAsia="宋体" w:cs="宋体"/>
                <w:sz w:val="22"/>
                <w:szCs w:val="22"/>
                <w:highlight w:val="none"/>
              </w:rPr>
              <w:t>于每月5日前核对确认东莞市智慧养老服务平台（以下简称“平台”）上一个月月度账单，在确认无误后将其导出签字盖章后提交给采购人并上传至平台；采购人在每月10日前，完成上一月月度服务账单审核，并在签字盖章完成后回传至平台；财政主管部门在每月28日前，按采购人上一个月度帐单，将上一个月结算金额按照支付规定向</w:t>
            </w:r>
            <w:r>
              <w:rPr>
                <w:rFonts w:hint="eastAsia" w:ascii="宋体" w:hAnsi="宋体" w:eastAsia="宋体" w:cs="宋体"/>
                <w:sz w:val="22"/>
                <w:szCs w:val="22"/>
                <w:highlight w:val="none"/>
                <w:lang w:eastAsia="zh-CN"/>
              </w:rPr>
              <w:t>中标供应商</w:t>
            </w:r>
            <w:r>
              <w:rPr>
                <w:rFonts w:hint="eastAsia" w:ascii="宋体" w:hAnsi="宋体" w:eastAsia="宋体" w:cs="宋体"/>
                <w:sz w:val="22"/>
                <w:szCs w:val="22"/>
                <w:highlight w:val="none"/>
              </w:rPr>
              <w:t>拨付。</w:t>
            </w:r>
          </w:p>
        </w:tc>
      </w:tr>
      <w:tr w14:paraId="0864F0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3" w:type="dxa"/>
          </w:tcPr>
          <w:p w14:paraId="3F6E2E3B">
            <w:pPr>
              <w:rPr>
                <w:rFonts w:hint="eastAsia" w:ascii="宋体" w:hAnsi="宋体" w:eastAsia="宋体" w:cs="宋体"/>
                <w:sz w:val="22"/>
                <w:szCs w:val="22"/>
                <w:highlight w:val="none"/>
              </w:rPr>
            </w:pPr>
            <w:r>
              <w:rPr>
                <w:rFonts w:hint="eastAsia" w:ascii="宋体" w:hAnsi="宋体" w:eastAsia="宋体" w:cs="宋体"/>
                <w:sz w:val="22"/>
                <w:szCs w:val="22"/>
                <w:highlight w:val="none"/>
              </w:rPr>
              <w:t>验收要求</w:t>
            </w:r>
          </w:p>
        </w:tc>
        <w:tc>
          <w:tcPr>
            <w:tcW w:w="6303" w:type="dxa"/>
          </w:tcPr>
          <w:p w14:paraId="1B0C104A">
            <w:pPr>
              <w:rPr>
                <w:rFonts w:hint="eastAsia" w:ascii="宋体" w:hAnsi="宋体" w:eastAsia="宋体" w:cs="宋体"/>
                <w:sz w:val="22"/>
                <w:szCs w:val="22"/>
                <w:highlight w:val="none"/>
              </w:rPr>
            </w:pPr>
            <w:r>
              <w:rPr>
                <w:rFonts w:hint="eastAsia" w:ascii="宋体" w:hAnsi="宋体" w:eastAsia="宋体" w:cs="宋体"/>
                <w:sz w:val="22"/>
                <w:szCs w:val="22"/>
                <w:highlight w:val="none"/>
              </w:rPr>
              <w:t>1期：验收工作按国家、省市有关规定、规范进行。保证居家养老服务质量，规范服务行为，服务标准及考核根据《东莞市居家养老服务管理办法（修订）》（东府办〔2021〕12号）文件精神执行，镇民政部门和村（居）民委员会有权对中标供应商的服务质量进行监督，如发现中标供应商存有不合理、不完善事项或服务质量问题，有权要求中标供应商改正。</w:t>
            </w:r>
          </w:p>
        </w:tc>
      </w:tr>
      <w:tr w14:paraId="2FAA3E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3" w:type="dxa"/>
          </w:tcPr>
          <w:p w14:paraId="7C88D422">
            <w:pPr>
              <w:rPr>
                <w:rFonts w:hint="eastAsia" w:ascii="宋体" w:hAnsi="宋体" w:eastAsia="宋体" w:cs="宋体"/>
                <w:sz w:val="22"/>
                <w:szCs w:val="22"/>
                <w:highlight w:val="none"/>
              </w:rPr>
            </w:pPr>
            <w:r>
              <w:rPr>
                <w:rFonts w:hint="eastAsia" w:ascii="宋体" w:hAnsi="宋体" w:eastAsia="宋体" w:cs="宋体"/>
                <w:sz w:val="22"/>
                <w:szCs w:val="22"/>
                <w:highlight w:val="none"/>
              </w:rPr>
              <w:t>履约保证金</w:t>
            </w:r>
          </w:p>
        </w:tc>
        <w:tc>
          <w:tcPr>
            <w:tcW w:w="6303" w:type="dxa"/>
          </w:tcPr>
          <w:p w14:paraId="09AA454B">
            <w:pPr>
              <w:rPr>
                <w:rFonts w:hint="eastAsia" w:ascii="宋体" w:hAnsi="宋体" w:eastAsia="宋体" w:cs="宋体"/>
                <w:sz w:val="22"/>
                <w:szCs w:val="22"/>
                <w:highlight w:val="none"/>
              </w:rPr>
            </w:pPr>
            <w:r>
              <w:rPr>
                <w:rFonts w:hint="eastAsia" w:ascii="宋体" w:hAnsi="宋体" w:eastAsia="宋体" w:cs="宋体"/>
                <w:sz w:val="22"/>
                <w:szCs w:val="22"/>
                <w:highlight w:val="none"/>
              </w:rPr>
              <w:t>不收取</w:t>
            </w:r>
          </w:p>
        </w:tc>
      </w:tr>
      <w:tr w14:paraId="405A69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3" w:type="dxa"/>
          </w:tcPr>
          <w:p w14:paraId="166A046B">
            <w:pPr>
              <w:rPr>
                <w:rFonts w:hint="eastAsia" w:ascii="宋体" w:hAnsi="宋体" w:eastAsia="宋体" w:cs="宋体"/>
                <w:sz w:val="22"/>
                <w:szCs w:val="22"/>
                <w:highlight w:val="none"/>
              </w:rPr>
            </w:pPr>
            <w:r>
              <w:rPr>
                <w:rFonts w:hint="eastAsia" w:ascii="宋体" w:hAnsi="宋体" w:eastAsia="宋体" w:cs="宋体"/>
                <w:sz w:val="22"/>
                <w:szCs w:val="22"/>
                <w:highlight w:val="none"/>
              </w:rPr>
              <w:t>其他</w:t>
            </w:r>
          </w:p>
        </w:tc>
        <w:tc>
          <w:tcPr>
            <w:tcW w:w="6303" w:type="dxa"/>
          </w:tcPr>
          <w:p w14:paraId="5C29DDF8">
            <w:pPr>
              <w:rPr>
                <w:rFonts w:hint="eastAsia" w:ascii="宋体" w:hAnsi="宋体" w:eastAsia="宋体" w:cs="宋体"/>
                <w:sz w:val="22"/>
                <w:szCs w:val="22"/>
                <w:highlight w:val="none"/>
              </w:rPr>
            </w:pPr>
            <w:r>
              <w:rPr>
                <w:rFonts w:hint="eastAsia" w:ascii="宋体" w:hAnsi="宋体" w:eastAsia="宋体" w:cs="宋体"/>
                <w:sz w:val="22"/>
                <w:szCs w:val="22"/>
                <w:highlight w:val="none"/>
              </w:rPr>
              <w:t>1、劳动条件，工作人员的工作时间和休息休假需按照《中华人民共和国劳动法》执行。采购人应尊重</w:t>
            </w:r>
            <w:r>
              <w:rPr>
                <w:rFonts w:hint="eastAsia" w:ascii="宋体" w:hAnsi="宋体" w:eastAsia="宋体" w:cs="宋体"/>
                <w:sz w:val="22"/>
                <w:szCs w:val="22"/>
                <w:highlight w:val="none"/>
                <w:lang w:eastAsia="zh-CN"/>
              </w:rPr>
              <w:t>中标供应商</w:t>
            </w:r>
            <w:r>
              <w:rPr>
                <w:rFonts w:hint="eastAsia" w:ascii="宋体" w:hAnsi="宋体" w:eastAsia="宋体" w:cs="宋体"/>
                <w:sz w:val="22"/>
                <w:szCs w:val="22"/>
                <w:highlight w:val="none"/>
              </w:rPr>
              <w:t>工作人员及其工作成果，提供必要的工作环境。</w:t>
            </w:r>
          </w:p>
          <w:p w14:paraId="6164A6AD">
            <w:pPr>
              <w:rPr>
                <w:rFonts w:hint="eastAsia" w:ascii="宋体" w:hAnsi="宋体" w:eastAsia="宋体" w:cs="宋体"/>
                <w:sz w:val="22"/>
                <w:szCs w:val="22"/>
                <w:highlight w:val="none"/>
              </w:rPr>
            </w:pPr>
            <w:r>
              <w:rPr>
                <w:rFonts w:hint="eastAsia" w:ascii="宋体" w:hAnsi="宋体" w:eastAsia="宋体" w:cs="宋体"/>
                <w:sz w:val="22"/>
                <w:szCs w:val="22"/>
                <w:highlight w:val="none"/>
              </w:rPr>
              <w:t>2、报价应包含（人民币报价），报价包括全部合同责任的总花费和</w:t>
            </w:r>
            <w:r>
              <w:rPr>
                <w:rFonts w:hint="eastAsia" w:ascii="宋体" w:hAnsi="宋体" w:eastAsia="宋体" w:cs="宋体"/>
                <w:sz w:val="22"/>
                <w:szCs w:val="22"/>
                <w:highlight w:val="none"/>
                <w:lang w:eastAsia="zh-CN"/>
              </w:rPr>
              <w:t>中标供应商</w:t>
            </w:r>
            <w:r>
              <w:rPr>
                <w:rFonts w:hint="eastAsia" w:ascii="宋体" w:hAnsi="宋体" w:eastAsia="宋体" w:cs="宋体"/>
                <w:sz w:val="22"/>
                <w:szCs w:val="22"/>
                <w:highlight w:val="none"/>
              </w:rPr>
              <w:t>因承包本合同需缴纳的一切税费，并应包含但不限于以下全部费用：各项管理费、督导、社工、社工助理、护工等工作人员工资、福利、活动宣传费及开展活动所需的其它费用、医疗保险费、交通费、社保费、津贴、加班费、网络费、相关设备购置及维修费、活动差旅费、财务费用、利润、风险金、税金等一切技术和后期服务费（含相关技术指导和培训费）等所有不可预见的隐含费用（以上费用如涉及多次需求，所有费用都包含在内）。</w:t>
            </w:r>
          </w:p>
          <w:p w14:paraId="5CA055E4">
            <w:pPr>
              <w:rPr>
                <w:rFonts w:hint="eastAsia" w:ascii="宋体" w:hAnsi="宋体" w:eastAsia="宋体" w:cs="宋体"/>
                <w:sz w:val="22"/>
                <w:szCs w:val="22"/>
                <w:highlight w:val="none"/>
              </w:rPr>
            </w:pPr>
            <w:r>
              <w:rPr>
                <w:rFonts w:hint="eastAsia" w:ascii="宋体" w:hAnsi="宋体" w:eastAsia="宋体" w:cs="宋体"/>
                <w:sz w:val="22"/>
                <w:szCs w:val="22"/>
                <w:highlight w:val="none"/>
              </w:rPr>
              <w:t>3、合同条款，投标人实质响应合同各条款。</w:t>
            </w:r>
          </w:p>
        </w:tc>
      </w:tr>
    </w:tbl>
    <w:p w14:paraId="5CFAB22F">
      <w:pPr>
        <w:rPr>
          <w:rFonts w:hint="eastAsia" w:ascii="宋体" w:hAnsi="宋体" w:eastAsia="宋体" w:cs="宋体"/>
          <w:sz w:val="22"/>
          <w:szCs w:val="22"/>
          <w:highlight w:val="none"/>
        </w:rPr>
      </w:pPr>
      <w:r>
        <w:rPr>
          <w:rFonts w:hint="eastAsia" w:ascii="宋体" w:hAnsi="宋体" w:eastAsia="宋体" w:cs="宋体"/>
          <w:b/>
          <w:sz w:val="22"/>
          <w:szCs w:val="22"/>
          <w:highlight w:val="none"/>
        </w:rPr>
        <w:t>2.技术标准与要求</w:t>
      </w:r>
    </w:p>
    <w:p w14:paraId="11FBB660">
      <w:pPr>
        <w:rPr>
          <w:rFonts w:hint="eastAsia" w:ascii="宋体" w:hAnsi="宋体" w:eastAsia="宋体" w:cs="宋体"/>
          <w:sz w:val="22"/>
          <w:szCs w:val="22"/>
          <w:highlight w:val="none"/>
        </w:rPr>
      </w:pPr>
    </w:p>
    <w:p w14:paraId="6005E7FD">
      <w:pPr>
        <w:rPr>
          <w:rFonts w:hint="eastAsia" w:ascii="宋体" w:hAnsi="宋体" w:eastAsia="宋体" w:cs="宋体"/>
          <w:sz w:val="22"/>
          <w:szCs w:val="22"/>
          <w:highlight w:val="none"/>
        </w:rPr>
      </w:pP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7"/>
        <w:gridCol w:w="778"/>
        <w:gridCol w:w="778"/>
        <w:gridCol w:w="778"/>
        <w:gridCol w:w="847"/>
        <w:gridCol w:w="1536"/>
        <w:gridCol w:w="1536"/>
        <w:gridCol w:w="714"/>
        <w:gridCol w:w="778"/>
      </w:tblGrid>
      <w:tr w14:paraId="36DC5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3" w:type="dxa"/>
          </w:tcPr>
          <w:p w14:paraId="054137F3">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序号</w:t>
            </w:r>
          </w:p>
        </w:tc>
        <w:tc>
          <w:tcPr>
            <w:tcW w:w="933" w:type="dxa"/>
          </w:tcPr>
          <w:p w14:paraId="375580A9">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品目名称</w:t>
            </w:r>
          </w:p>
        </w:tc>
        <w:tc>
          <w:tcPr>
            <w:tcW w:w="933" w:type="dxa"/>
          </w:tcPr>
          <w:p w14:paraId="28CB1938">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标的名称</w:t>
            </w:r>
          </w:p>
        </w:tc>
        <w:tc>
          <w:tcPr>
            <w:tcW w:w="933" w:type="dxa"/>
          </w:tcPr>
          <w:p w14:paraId="66E6AD50">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单位</w:t>
            </w:r>
          </w:p>
        </w:tc>
        <w:tc>
          <w:tcPr>
            <w:tcW w:w="933" w:type="dxa"/>
          </w:tcPr>
          <w:p w14:paraId="2078E3E2">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数量</w:t>
            </w:r>
          </w:p>
        </w:tc>
        <w:tc>
          <w:tcPr>
            <w:tcW w:w="933" w:type="dxa"/>
          </w:tcPr>
          <w:p w14:paraId="6567C2D3">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分项预算单价（元）</w:t>
            </w:r>
          </w:p>
        </w:tc>
        <w:tc>
          <w:tcPr>
            <w:tcW w:w="933" w:type="dxa"/>
          </w:tcPr>
          <w:p w14:paraId="4A08BF4D">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分项预算总价（元）</w:t>
            </w:r>
          </w:p>
        </w:tc>
        <w:tc>
          <w:tcPr>
            <w:tcW w:w="840" w:type="dxa"/>
          </w:tcPr>
          <w:p w14:paraId="2765B740">
            <w:pPr>
              <w:rPr>
                <w:rFonts w:hint="eastAsia" w:ascii="宋体" w:hAnsi="宋体" w:eastAsia="宋体" w:cs="宋体"/>
                <w:sz w:val="22"/>
                <w:szCs w:val="22"/>
                <w:highlight w:val="none"/>
              </w:rPr>
            </w:pPr>
            <w:r>
              <w:rPr>
                <w:rFonts w:hint="eastAsia" w:ascii="宋体" w:hAnsi="宋体" w:eastAsia="宋体" w:cs="宋体"/>
                <w:sz w:val="22"/>
                <w:szCs w:val="22"/>
                <w:highlight w:val="none"/>
              </w:rPr>
              <w:t>所属行业</w:t>
            </w:r>
          </w:p>
        </w:tc>
        <w:tc>
          <w:tcPr>
            <w:tcW w:w="933" w:type="dxa"/>
          </w:tcPr>
          <w:p w14:paraId="6116E852">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技术要求</w:t>
            </w:r>
          </w:p>
        </w:tc>
      </w:tr>
      <w:tr w14:paraId="43A90D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3" w:type="dxa"/>
          </w:tcPr>
          <w:p w14:paraId="3BE34B9D">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933" w:type="dxa"/>
          </w:tcPr>
          <w:p w14:paraId="71343DC6">
            <w:pPr>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其他社会服务</w:t>
            </w:r>
          </w:p>
        </w:tc>
        <w:tc>
          <w:tcPr>
            <w:tcW w:w="933" w:type="dxa"/>
          </w:tcPr>
          <w:p w14:paraId="5AD16FD4">
            <w:pPr>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10个村社区居家养老服务</w:t>
            </w:r>
          </w:p>
        </w:tc>
        <w:tc>
          <w:tcPr>
            <w:tcW w:w="933" w:type="dxa"/>
          </w:tcPr>
          <w:p w14:paraId="2F956157">
            <w:pPr>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项</w:t>
            </w:r>
          </w:p>
        </w:tc>
        <w:tc>
          <w:tcPr>
            <w:tcW w:w="933" w:type="dxa"/>
          </w:tcPr>
          <w:p w14:paraId="4FCEF43D">
            <w:pPr>
              <w:jc w:val="right"/>
              <w:rPr>
                <w:rFonts w:hint="eastAsia" w:ascii="宋体" w:hAnsi="宋体" w:eastAsia="宋体" w:cs="宋体"/>
                <w:sz w:val="22"/>
                <w:szCs w:val="22"/>
                <w:highlight w:val="none"/>
              </w:rPr>
            </w:pPr>
            <w:r>
              <w:rPr>
                <w:rFonts w:hint="eastAsia" w:ascii="宋体" w:hAnsi="宋体" w:eastAsia="宋体" w:cs="宋体"/>
                <w:sz w:val="22"/>
                <w:szCs w:val="22"/>
                <w:highlight w:val="none"/>
              </w:rPr>
              <w:t>1.00</w:t>
            </w:r>
          </w:p>
        </w:tc>
        <w:tc>
          <w:tcPr>
            <w:tcW w:w="933" w:type="dxa"/>
          </w:tcPr>
          <w:p w14:paraId="2EB1E19A">
            <w:pPr>
              <w:jc w:val="right"/>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2,113,440.00</w:t>
            </w:r>
          </w:p>
        </w:tc>
        <w:tc>
          <w:tcPr>
            <w:tcW w:w="933" w:type="dxa"/>
          </w:tcPr>
          <w:p w14:paraId="47F8797B">
            <w:pPr>
              <w:jc w:val="right"/>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2,113,440.00</w:t>
            </w:r>
          </w:p>
        </w:tc>
        <w:tc>
          <w:tcPr>
            <w:tcW w:w="840" w:type="dxa"/>
          </w:tcPr>
          <w:p w14:paraId="5D3CAC03">
            <w:pPr>
              <w:rPr>
                <w:rFonts w:hint="eastAsia" w:ascii="宋体" w:hAnsi="宋体" w:eastAsia="宋体" w:cs="宋体"/>
                <w:sz w:val="22"/>
                <w:szCs w:val="22"/>
                <w:highlight w:val="none"/>
              </w:rPr>
            </w:pPr>
            <w:r>
              <w:rPr>
                <w:rFonts w:hint="eastAsia" w:ascii="宋体" w:hAnsi="宋体" w:eastAsia="宋体" w:cs="宋体"/>
                <w:sz w:val="22"/>
                <w:szCs w:val="22"/>
                <w:highlight w:val="none"/>
              </w:rPr>
              <w:t>其他未列明行业</w:t>
            </w:r>
          </w:p>
        </w:tc>
        <w:tc>
          <w:tcPr>
            <w:tcW w:w="933" w:type="dxa"/>
          </w:tcPr>
          <w:p w14:paraId="5BD0935E">
            <w:pPr>
              <w:rPr>
                <w:rFonts w:hint="eastAsia" w:ascii="宋体" w:hAnsi="宋体" w:eastAsia="宋体" w:cs="宋体"/>
                <w:sz w:val="22"/>
                <w:szCs w:val="22"/>
                <w:highlight w:val="none"/>
              </w:rPr>
            </w:pPr>
            <w:r>
              <w:rPr>
                <w:rFonts w:hint="eastAsia" w:ascii="宋体" w:hAnsi="宋体" w:eastAsia="宋体" w:cs="宋体"/>
                <w:sz w:val="22"/>
                <w:szCs w:val="22"/>
                <w:highlight w:val="none"/>
              </w:rPr>
              <w:t>详见附表一</w:t>
            </w:r>
          </w:p>
        </w:tc>
      </w:tr>
    </w:tbl>
    <w:p w14:paraId="69F95A7F">
      <w:pPr>
        <w:rPr>
          <w:rFonts w:hint="eastAsia" w:ascii="宋体" w:hAnsi="宋体" w:eastAsia="宋体" w:cs="宋体"/>
          <w:sz w:val="22"/>
          <w:szCs w:val="22"/>
          <w:highlight w:val="none"/>
        </w:rPr>
      </w:pPr>
    </w:p>
    <w:p w14:paraId="78BF4751">
      <w:pPr>
        <w:rPr>
          <w:rFonts w:hint="eastAsia" w:ascii="宋体" w:hAnsi="宋体" w:eastAsia="宋体" w:cs="宋体"/>
          <w:sz w:val="22"/>
          <w:szCs w:val="22"/>
          <w:highlight w:val="none"/>
        </w:rPr>
      </w:pPr>
      <w:r>
        <w:rPr>
          <w:rFonts w:hint="eastAsia" w:ascii="宋体" w:hAnsi="宋体" w:eastAsia="宋体" w:cs="宋体"/>
          <w:b/>
          <w:sz w:val="22"/>
          <w:szCs w:val="22"/>
          <w:highlight w:val="none"/>
        </w:rPr>
        <w:t>附表一：10个村社区居家养老服务</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436"/>
        <w:gridCol w:w="5814"/>
      </w:tblGrid>
      <w:tr w14:paraId="240DA9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68B5E5D">
            <w:pPr>
              <w:rPr>
                <w:rFonts w:hint="eastAsia" w:ascii="宋体" w:hAnsi="宋体" w:eastAsia="宋体" w:cs="宋体"/>
                <w:sz w:val="22"/>
                <w:szCs w:val="22"/>
                <w:highlight w:val="none"/>
              </w:rPr>
            </w:pPr>
            <w:r>
              <w:rPr>
                <w:rFonts w:hint="eastAsia" w:ascii="宋体" w:hAnsi="宋体" w:eastAsia="宋体" w:cs="宋体"/>
                <w:sz w:val="22"/>
                <w:szCs w:val="22"/>
                <w:highlight w:val="none"/>
              </w:rPr>
              <w:t>参数性质</w:t>
            </w:r>
          </w:p>
        </w:tc>
        <w:tc>
          <w:tcPr>
            <w:tcW w:w="415" w:type="dxa"/>
          </w:tcPr>
          <w:p w14:paraId="649927EB">
            <w:pPr>
              <w:rPr>
                <w:rFonts w:hint="eastAsia" w:ascii="宋体" w:hAnsi="宋体" w:eastAsia="宋体" w:cs="宋体"/>
                <w:sz w:val="22"/>
                <w:szCs w:val="22"/>
                <w:highlight w:val="none"/>
              </w:rPr>
            </w:pPr>
            <w:r>
              <w:rPr>
                <w:rFonts w:hint="eastAsia" w:ascii="宋体" w:hAnsi="宋体" w:eastAsia="宋体" w:cs="宋体"/>
                <w:sz w:val="22"/>
                <w:szCs w:val="22"/>
                <w:highlight w:val="none"/>
              </w:rPr>
              <w:t>序号</w:t>
            </w:r>
          </w:p>
        </w:tc>
        <w:tc>
          <w:tcPr>
            <w:tcW w:w="5814" w:type="dxa"/>
          </w:tcPr>
          <w:p w14:paraId="40DF1AA8">
            <w:pPr>
              <w:rPr>
                <w:rFonts w:hint="eastAsia" w:ascii="宋体" w:hAnsi="宋体" w:eastAsia="宋体" w:cs="宋体"/>
                <w:sz w:val="22"/>
                <w:szCs w:val="22"/>
                <w:highlight w:val="none"/>
              </w:rPr>
            </w:pPr>
            <w:r>
              <w:rPr>
                <w:rFonts w:hint="eastAsia" w:ascii="宋体" w:hAnsi="宋体" w:eastAsia="宋体" w:cs="宋体"/>
                <w:sz w:val="22"/>
                <w:szCs w:val="22"/>
                <w:highlight w:val="none"/>
              </w:rPr>
              <w:t>具体技术(参数)要求</w:t>
            </w:r>
          </w:p>
        </w:tc>
      </w:tr>
      <w:tr w14:paraId="0FBC7B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8F56959">
            <w:pPr>
              <w:rPr>
                <w:rFonts w:hint="eastAsia" w:ascii="宋体" w:hAnsi="宋体" w:eastAsia="宋体" w:cs="宋体"/>
                <w:sz w:val="22"/>
                <w:szCs w:val="22"/>
                <w:highlight w:val="none"/>
              </w:rPr>
            </w:pPr>
          </w:p>
        </w:tc>
        <w:tc>
          <w:tcPr>
            <w:tcW w:w="415" w:type="dxa"/>
          </w:tcPr>
          <w:p w14:paraId="256563A1">
            <w:pPr>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5814" w:type="dxa"/>
          </w:tcPr>
          <w:p w14:paraId="04E39052">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根据《东莞市居家养老服务管理办法（修订）》（东府办〔2021〕12号）精神和《东莞市民政局  东莞市财政局关于印发&lt;东莞市居家养老服务项目补助资金结算实施细则&gt; 的通知》精神，投标人须满足以下服务需求：</w:t>
            </w:r>
          </w:p>
          <w:p w14:paraId="1C9649AE">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一、服务目的</w:t>
            </w:r>
          </w:p>
          <w:p w14:paraId="7597D56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适应我镇老年人口的快速增长，加快推进我镇养老服务事业的发展，加强和规范居家养老服务工作，营造尊老、敬老、助老的良好社会氛围，全面提高老年人生活质量，促进社会稳定和谐。根据《东莞市居家养老服务管理办法（修订）》（东府办〔2021〕12号）的文件精神，结合我镇养老服务实际，现向社会通过公开招标的方式选取一家第三方服务机构，为东莞市大朗镇10个村社区提供居家养老服务。</w:t>
            </w:r>
          </w:p>
          <w:p w14:paraId="26C71CDE">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二、服务群体</w:t>
            </w:r>
          </w:p>
          <w:p w14:paraId="7EB63C2A">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具有大朗镇户籍且在东莞市行政区域内居住，且符合以下情形之一的服务对象可申请政府资助：</w:t>
            </w:r>
          </w:p>
          <w:p w14:paraId="51D45864">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1、年满60周岁及以上的重度失能老年人；</w:t>
            </w:r>
          </w:p>
          <w:p w14:paraId="199AD415">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2、年满70周岁及以上的中度失能老年人；</w:t>
            </w:r>
          </w:p>
          <w:p w14:paraId="3CEE4843">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3、孤寡人员、计划生育特殊家庭、部分享受定期定量抚恤生活补助优抚对象中年满60周岁及以上的失能老年人；</w:t>
            </w:r>
          </w:p>
          <w:p w14:paraId="3EEA78AF">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4、特困供养人员、低保家庭、低收入家庭中年满60周岁及以上的老年人。</w:t>
            </w:r>
          </w:p>
          <w:p w14:paraId="733AE968">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注：若东莞市政府发布新文件规定的，对服务对象条件进行调整，则以新文件规定为准。</w:t>
            </w:r>
          </w:p>
          <w:p w14:paraId="667CA2FF">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三、资助依据</w:t>
            </w:r>
          </w:p>
          <w:p w14:paraId="3D78A920">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采购人将通过购买服务的方式，委托具有资质的第三方评估机构，依据民政部《老年人能力评估》(MZ/T   039-2013) 标准和方法进行老年人养老服务需求评估 (能力等级评估) ，评估结果作为居家养老服务资助的依据。</w:t>
            </w:r>
          </w:p>
          <w:p w14:paraId="4BCC2395">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养老服务需求状况(能力等级) 发生变化的，可由本人、家属或委托人依据医疗机构出具的《养老服务需求评估意见书》，向户籍所在地园区、镇 (街道) 民政部门提出申请，经核实后组织动态评估。</w:t>
            </w:r>
          </w:p>
          <w:p w14:paraId="2CCC1643">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第三方评估机构的评估员应由执业(助理) 医师、执业护士、初 (中) 级社会工作师、具有两年以上护理工作经验的养老护理员组成。评估方式包括定点评估和上门评估，其中上门评估的不得少于2名评估员。</w:t>
            </w:r>
          </w:p>
          <w:p w14:paraId="1033CC26">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四、资助要求、标准及发放形式:</w:t>
            </w:r>
          </w:p>
          <w:p w14:paraId="0BCB37F9">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属于政府资助对象的老人，可申请以下资助标准的服务。</w:t>
            </w:r>
          </w:p>
          <w:p w14:paraId="59FF55EB">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1、经评估属于重度失能的，按照每人每月720元的标准提供居家养老服务。</w:t>
            </w:r>
          </w:p>
          <w:p w14:paraId="3B93249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2、经评估属于中度失能的，按照每人每月480元的标准提供居家养老服务。</w:t>
            </w:r>
          </w:p>
          <w:p w14:paraId="30E7E109">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3、经评估属于轻度失能或能力完好的，按照每人每月360元的标准提供居家养老服务。</w:t>
            </w:r>
          </w:p>
          <w:p w14:paraId="4E2797EC">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服务资助通过养老服务卡以服务的形式发放。资助标准内的服务，当月使用，不能滚存。服务执行期间，如果资助标准有调整，按调整后的新标准执行。</w:t>
            </w:r>
          </w:p>
          <w:p w14:paraId="4E160D12">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已享受特困供养人员护理补贴或重度残疾人护理补贴的，按照就高原则，不能重复享受上述规定的资助。</w:t>
            </w:r>
          </w:p>
          <w:p w14:paraId="0DB645E9">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五、服务内容</w:t>
            </w:r>
          </w:p>
          <w:p w14:paraId="08D914C3">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居家养老服务，是指以家庭为核心，以社区为依托，以专业化服务为主要形式，充分利用包括村（社区）卫生服务机构、各类养老机构以及村（社区）公共服务机构等在内的社区资源，为居住在家的老年人提供以协助解决其养老需求的社会化服务，包括生活照料、医疗保健、精神关爱、文化体育、紧急救助等一种或若干种服务的社会养老服务。居家养老服务主要包括康复护理、生活照料、卫生清洁、助餐配餐、日间托管、文化娱乐、精神慰藉等服务项目。服务机构可根据老年人服务需求拓展临终关怀、医疗保健、科技助老、金融助老等服务项目。具体服务内容如下：</w:t>
            </w:r>
          </w:p>
          <w:tbl>
            <w:tblPr>
              <w:tblStyle w:val="8"/>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37"/>
              <w:gridCol w:w="700"/>
              <w:gridCol w:w="2943"/>
              <w:gridCol w:w="1513"/>
            </w:tblGrid>
            <w:tr w14:paraId="377B25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single" w:color="000000" w:sz="4" w:space="0"/>
                    <w:left w:val="single" w:color="000000" w:sz="4" w:space="0"/>
                    <w:bottom w:val="single" w:color="000000" w:sz="4" w:space="0"/>
                    <w:right w:val="single" w:color="000000" w:sz="4" w:space="0"/>
                  </w:tcBorders>
                  <w:vAlign w:val="top"/>
                </w:tcPr>
                <w:p w14:paraId="69DAE84E">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序号</w:t>
                  </w:r>
                </w:p>
              </w:tc>
              <w:tc>
                <w:tcPr>
                  <w:tcW w:w="701" w:type="dxa"/>
                  <w:tcBorders>
                    <w:top w:val="single" w:color="000000" w:sz="4" w:space="0"/>
                    <w:left w:val="nil"/>
                    <w:bottom w:val="single" w:color="000000" w:sz="4" w:space="0"/>
                    <w:right w:val="single" w:color="000000" w:sz="4" w:space="0"/>
                  </w:tcBorders>
                  <w:vAlign w:val="top"/>
                </w:tcPr>
                <w:p w14:paraId="5ED6CAFA">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服务大项</w:t>
                  </w:r>
                </w:p>
              </w:tc>
              <w:tc>
                <w:tcPr>
                  <w:tcW w:w="2988" w:type="dxa"/>
                  <w:tcBorders>
                    <w:top w:val="single" w:color="000000" w:sz="4" w:space="0"/>
                    <w:left w:val="nil"/>
                    <w:bottom w:val="single" w:color="000000" w:sz="4" w:space="0"/>
                    <w:right w:val="single" w:color="000000" w:sz="4" w:space="0"/>
                  </w:tcBorders>
                  <w:vAlign w:val="top"/>
                </w:tcPr>
                <w:p w14:paraId="37F72E8A">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服务内容</w:t>
                  </w:r>
                </w:p>
              </w:tc>
              <w:tc>
                <w:tcPr>
                  <w:tcW w:w="1531" w:type="dxa"/>
                  <w:tcBorders>
                    <w:top w:val="single" w:color="000000" w:sz="4" w:space="0"/>
                    <w:left w:val="nil"/>
                    <w:bottom w:val="single" w:color="000000" w:sz="4" w:space="0"/>
                    <w:right w:val="single" w:color="000000" w:sz="4" w:space="0"/>
                  </w:tcBorders>
                  <w:vAlign w:val="top"/>
                </w:tcPr>
                <w:p w14:paraId="69A83774">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服务目标</w:t>
                  </w:r>
                </w:p>
              </w:tc>
            </w:tr>
            <w:tr w14:paraId="6372E0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07B73124">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w:t>
                  </w:r>
                </w:p>
              </w:tc>
              <w:tc>
                <w:tcPr>
                  <w:tcW w:w="701" w:type="dxa"/>
                  <w:tcBorders>
                    <w:top w:val="nil"/>
                    <w:left w:val="nil"/>
                    <w:bottom w:val="single" w:color="000000" w:sz="4" w:space="0"/>
                    <w:right w:val="single" w:color="000000" w:sz="4" w:space="0"/>
                  </w:tcBorders>
                  <w:vAlign w:val="top"/>
                </w:tcPr>
                <w:p w14:paraId="3AB7FA1D">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康复护理</w:t>
                  </w:r>
                </w:p>
              </w:tc>
              <w:tc>
                <w:tcPr>
                  <w:tcW w:w="2988" w:type="dxa"/>
                  <w:tcBorders>
                    <w:top w:val="nil"/>
                    <w:left w:val="nil"/>
                    <w:bottom w:val="single" w:color="000000" w:sz="4" w:space="0"/>
                    <w:right w:val="single" w:color="000000" w:sz="4" w:space="0"/>
                  </w:tcBorders>
                  <w:vAlign w:val="top"/>
                </w:tcPr>
                <w:p w14:paraId="4EB61AE1">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服务对象提供健康咨询、康复咨询、康复指引、健康检查服务，康复辅助器具配置服务、根据服务对象的需求，有针对地提供康复理疗项目（如针灸理疗、足部护理、器械按摩、中风物理治疗、推拿按摩、拔罐刮痧等）及康复训练项目（如腰椎康复、跌伤康复、中风康复、偏瘫康复、记忆训练、感官训练、转移训练等）。</w:t>
                  </w:r>
                </w:p>
              </w:tc>
              <w:tc>
                <w:tcPr>
                  <w:tcW w:w="1531" w:type="dxa"/>
                  <w:tcBorders>
                    <w:top w:val="nil"/>
                    <w:left w:val="nil"/>
                    <w:bottom w:val="single" w:color="000000" w:sz="4" w:space="0"/>
                    <w:right w:val="single" w:color="000000" w:sz="4" w:space="0"/>
                  </w:tcBorders>
                  <w:vAlign w:val="top"/>
                </w:tcPr>
                <w:p w14:paraId="06373852">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为重度失能的老年人提供与身体健康直接有关的预防、护理、康复方面的服务</w:t>
                  </w:r>
                </w:p>
              </w:tc>
            </w:tr>
            <w:tr w14:paraId="5DD28C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3E41A522">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w:t>
                  </w:r>
                </w:p>
              </w:tc>
              <w:tc>
                <w:tcPr>
                  <w:tcW w:w="701" w:type="dxa"/>
                  <w:tcBorders>
                    <w:top w:val="nil"/>
                    <w:left w:val="nil"/>
                    <w:bottom w:val="single" w:color="000000" w:sz="4" w:space="0"/>
                    <w:right w:val="single" w:color="000000" w:sz="4" w:space="0"/>
                  </w:tcBorders>
                  <w:vAlign w:val="top"/>
                </w:tcPr>
                <w:p w14:paraId="59F0D647">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生活照料</w:t>
                  </w:r>
                </w:p>
              </w:tc>
              <w:tc>
                <w:tcPr>
                  <w:tcW w:w="2988" w:type="dxa"/>
                  <w:tcBorders>
                    <w:top w:val="nil"/>
                    <w:left w:val="nil"/>
                    <w:bottom w:val="single" w:color="000000" w:sz="4" w:space="0"/>
                    <w:right w:val="single" w:color="000000" w:sz="4" w:space="0"/>
                  </w:tcBorders>
                  <w:vAlign w:val="top"/>
                </w:tcPr>
                <w:p w14:paraId="22254151">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为服务对象提供个人护理及生活照料服务，包括为服务对象洗头、理发、助浴、协助穿脱衣、洗脸、梳头等，陪同服务对象外出、代办代购等。</w:t>
                  </w:r>
                </w:p>
              </w:tc>
              <w:tc>
                <w:tcPr>
                  <w:tcW w:w="1531" w:type="dxa"/>
                  <w:tcBorders>
                    <w:top w:val="nil"/>
                    <w:left w:val="nil"/>
                    <w:bottom w:val="single" w:color="000000" w:sz="4" w:space="0"/>
                    <w:right w:val="single" w:color="000000" w:sz="4" w:space="0"/>
                  </w:tcBorders>
                  <w:vAlign w:val="top"/>
                </w:tcPr>
                <w:p w14:paraId="75DE0D9C">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为中度失能的老年人提供与身心健康间接相关的生活照料、家务协助、生活护理等方面的服务</w:t>
                  </w:r>
                </w:p>
              </w:tc>
            </w:tr>
            <w:tr w14:paraId="08340D4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5AB85988">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w:t>
                  </w:r>
                </w:p>
              </w:tc>
              <w:tc>
                <w:tcPr>
                  <w:tcW w:w="701" w:type="dxa"/>
                  <w:tcBorders>
                    <w:top w:val="nil"/>
                    <w:left w:val="nil"/>
                    <w:bottom w:val="single" w:color="000000" w:sz="4" w:space="0"/>
                    <w:right w:val="single" w:color="000000" w:sz="4" w:space="0"/>
                  </w:tcBorders>
                  <w:vAlign w:val="top"/>
                </w:tcPr>
                <w:p w14:paraId="6DC06233">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卫生清洁</w:t>
                  </w:r>
                </w:p>
              </w:tc>
              <w:tc>
                <w:tcPr>
                  <w:tcW w:w="2988" w:type="dxa"/>
                  <w:tcBorders>
                    <w:top w:val="nil"/>
                    <w:left w:val="nil"/>
                    <w:bottom w:val="single" w:color="000000" w:sz="4" w:space="0"/>
                    <w:right w:val="single" w:color="000000" w:sz="4" w:space="0"/>
                  </w:tcBorders>
                  <w:vAlign w:val="top"/>
                </w:tcPr>
                <w:p w14:paraId="57719557">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为服务对象提供对客厅、卧室、厕所等居家环境进行清扫、清洁；清洗与晾晒衣物、毛巾等。</w:t>
                  </w:r>
                </w:p>
              </w:tc>
              <w:tc>
                <w:tcPr>
                  <w:tcW w:w="1531" w:type="dxa"/>
                  <w:tcBorders>
                    <w:top w:val="nil"/>
                    <w:left w:val="nil"/>
                    <w:bottom w:val="single" w:color="000000" w:sz="4" w:space="0"/>
                    <w:right w:val="single" w:color="000000" w:sz="4" w:space="0"/>
                  </w:tcBorders>
                  <w:vAlign w:val="top"/>
                </w:tcPr>
                <w:p w14:paraId="4DC8391D">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为老年人生活居所、生活用品开展清洁和保洁的服务</w:t>
                  </w:r>
                </w:p>
              </w:tc>
            </w:tr>
            <w:tr w14:paraId="46DDA5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0CBCE566">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w:t>
                  </w:r>
                </w:p>
              </w:tc>
              <w:tc>
                <w:tcPr>
                  <w:tcW w:w="701" w:type="dxa"/>
                  <w:tcBorders>
                    <w:top w:val="nil"/>
                    <w:left w:val="nil"/>
                    <w:bottom w:val="single" w:color="000000" w:sz="4" w:space="0"/>
                    <w:right w:val="single" w:color="000000" w:sz="4" w:space="0"/>
                  </w:tcBorders>
                  <w:vAlign w:val="top"/>
                </w:tcPr>
                <w:p w14:paraId="2B9D9337">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助餐配餐</w:t>
                  </w:r>
                </w:p>
              </w:tc>
              <w:tc>
                <w:tcPr>
                  <w:tcW w:w="2988" w:type="dxa"/>
                  <w:tcBorders>
                    <w:top w:val="nil"/>
                    <w:left w:val="nil"/>
                    <w:bottom w:val="single" w:color="000000" w:sz="4" w:space="0"/>
                    <w:right w:val="single" w:color="000000" w:sz="4" w:space="0"/>
                  </w:tcBorders>
                  <w:vAlign w:val="top"/>
                </w:tcPr>
                <w:p w14:paraId="2EC6D533">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为服务对象送餐或上门做餐（包括代买食材、清洗烹饪、协助进食、餐后清洁等），向服务对象介绍“大配餐”政策，协助有需要的服务对象申请有关服务。</w:t>
                  </w:r>
                </w:p>
              </w:tc>
              <w:tc>
                <w:tcPr>
                  <w:tcW w:w="1531" w:type="dxa"/>
                  <w:tcBorders>
                    <w:top w:val="nil"/>
                    <w:left w:val="nil"/>
                    <w:bottom w:val="single" w:color="000000" w:sz="4" w:space="0"/>
                    <w:right w:val="single" w:color="000000" w:sz="4" w:space="0"/>
                  </w:tcBorders>
                  <w:vAlign w:val="top"/>
                </w:tcPr>
                <w:p w14:paraId="3DEF19D1">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为老年人提供助餐及配餐服务</w:t>
                  </w:r>
                </w:p>
              </w:tc>
            </w:tr>
            <w:tr w14:paraId="7AD5A7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28515793">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w:t>
                  </w:r>
                </w:p>
              </w:tc>
              <w:tc>
                <w:tcPr>
                  <w:tcW w:w="701" w:type="dxa"/>
                  <w:tcBorders>
                    <w:top w:val="nil"/>
                    <w:left w:val="nil"/>
                    <w:bottom w:val="single" w:color="000000" w:sz="4" w:space="0"/>
                    <w:right w:val="single" w:color="000000" w:sz="4" w:space="0"/>
                  </w:tcBorders>
                  <w:vAlign w:val="top"/>
                </w:tcPr>
                <w:p w14:paraId="4D95B3A3">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日间托管</w:t>
                  </w:r>
                </w:p>
              </w:tc>
              <w:tc>
                <w:tcPr>
                  <w:tcW w:w="2988" w:type="dxa"/>
                  <w:tcBorders>
                    <w:top w:val="nil"/>
                    <w:left w:val="nil"/>
                    <w:bottom w:val="single" w:color="000000" w:sz="4" w:space="0"/>
                    <w:right w:val="single" w:color="000000" w:sz="4" w:space="0"/>
                  </w:tcBorders>
                  <w:vAlign w:val="top"/>
                </w:tcPr>
                <w:p w14:paraId="3C66605D">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为有需要的服务对象提供日间托管照顾服务，为到场的老人提供文化娱乐、精神关怀、用餐助餐、康复训练等基本养老服务。</w:t>
                  </w:r>
                </w:p>
              </w:tc>
              <w:tc>
                <w:tcPr>
                  <w:tcW w:w="1531" w:type="dxa"/>
                  <w:tcBorders>
                    <w:top w:val="nil"/>
                    <w:left w:val="nil"/>
                    <w:bottom w:val="single" w:color="000000" w:sz="4" w:space="0"/>
                    <w:right w:val="single" w:color="000000" w:sz="4" w:space="0"/>
                  </w:tcBorders>
                  <w:vAlign w:val="top"/>
                </w:tcPr>
                <w:p w14:paraId="353E4D16">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根据服务对象实际需求提供服务。</w:t>
                  </w:r>
                </w:p>
              </w:tc>
            </w:tr>
            <w:tr w14:paraId="3DE7BB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2B4228C1">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6</w:t>
                  </w:r>
                </w:p>
              </w:tc>
              <w:tc>
                <w:tcPr>
                  <w:tcW w:w="701" w:type="dxa"/>
                  <w:tcBorders>
                    <w:top w:val="nil"/>
                    <w:left w:val="nil"/>
                    <w:bottom w:val="single" w:color="000000" w:sz="4" w:space="0"/>
                    <w:right w:val="single" w:color="000000" w:sz="4" w:space="0"/>
                  </w:tcBorders>
                  <w:vAlign w:val="top"/>
                </w:tcPr>
                <w:p w14:paraId="2A47A159">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文化娱乐</w:t>
                  </w:r>
                </w:p>
              </w:tc>
              <w:tc>
                <w:tcPr>
                  <w:tcW w:w="2988" w:type="dxa"/>
                  <w:tcBorders>
                    <w:top w:val="nil"/>
                    <w:left w:val="nil"/>
                    <w:bottom w:val="single" w:color="000000" w:sz="4" w:space="0"/>
                    <w:right w:val="single" w:color="000000" w:sz="4" w:space="0"/>
                  </w:tcBorders>
                  <w:vAlign w:val="top"/>
                </w:tcPr>
                <w:p w14:paraId="16049F97">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社工、志愿者以及护工联合，为服务对象提供节日庆典、文体类活动等，构建社会支持网络，开展健康讲座、老年兴趣班、志愿者队伍培育建设等活动项目。</w:t>
                  </w:r>
                </w:p>
              </w:tc>
              <w:tc>
                <w:tcPr>
                  <w:tcW w:w="1531" w:type="dxa"/>
                  <w:tcBorders>
                    <w:top w:val="nil"/>
                    <w:left w:val="nil"/>
                    <w:bottom w:val="single" w:color="000000" w:sz="4" w:space="0"/>
                    <w:right w:val="single" w:color="000000" w:sz="4" w:space="0"/>
                  </w:tcBorders>
                  <w:vAlign w:val="top"/>
                </w:tcPr>
                <w:p w14:paraId="4E31878A">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整合可能的社会资源为老年人提供多样化的服务。</w:t>
                  </w:r>
                </w:p>
              </w:tc>
            </w:tr>
            <w:tr w14:paraId="3ABE86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2599C2C8">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w:t>
                  </w:r>
                </w:p>
              </w:tc>
              <w:tc>
                <w:tcPr>
                  <w:tcW w:w="701" w:type="dxa"/>
                  <w:tcBorders>
                    <w:top w:val="nil"/>
                    <w:left w:val="nil"/>
                    <w:bottom w:val="single" w:color="000000" w:sz="4" w:space="0"/>
                    <w:right w:val="single" w:color="000000" w:sz="4" w:space="0"/>
                  </w:tcBorders>
                  <w:vAlign w:val="top"/>
                </w:tcPr>
                <w:p w14:paraId="035D6960">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精神慰藉</w:t>
                  </w:r>
                </w:p>
              </w:tc>
              <w:tc>
                <w:tcPr>
                  <w:tcW w:w="2988" w:type="dxa"/>
                  <w:tcBorders>
                    <w:top w:val="nil"/>
                    <w:left w:val="nil"/>
                    <w:bottom w:val="single" w:color="000000" w:sz="4" w:space="0"/>
                    <w:right w:val="single" w:color="000000" w:sz="4" w:space="0"/>
                  </w:tcBorders>
                  <w:vAlign w:val="top"/>
                </w:tcPr>
                <w:p w14:paraId="5C7A2EC7">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为服务对象提供心理上的安慰、支持等关怀服务；以及由社工开展的紧急介入、个案辅导、探访等。</w:t>
                  </w:r>
                </w:p>
              </w:tc>
              <w:tc>
                <w:tcPr>
                  <w:tcW w:w="1531" w:type="dxa"/>
                  <w:tcBorders>
                    <w:top w:val="nil"/>
                    <w:left w:val="nil"/>
                    <w:bottom w:val="single" w:color="000000" w:sz="4" w:space="0"/>
                    <w:right w:val="single" w:color="000000" w:sz="4" w:space="0"/>
                  </w:tcBorders>
                  <w:vAlign w:val="top"/>
                </w:tcPr>
                <w:p w14:paraId="10488A96">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根据服务对象实际需求开展定期探访、心理咨询、情绪辅导、家庭关系协调、危机介入等服务。</w:t>
                  </w:r>
                </w:p>
              </w:tc>
            </w:tr>
            <w:tr w14:paraId="719FB8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5C88740C">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8</w:t>
                  </w:r>
                </w:p>
              </w:tc>
              <w:tc>
                <w:tcPr>
                  <w:tcW w:w="701" w:type="dxa"/>
                  <w:tcBorders>
                    <w:top w:val="nil"/>
                    <w:left w:val="nil"/>
                    <w:bottom w:val="single" w:color="000000" w:sz="4" w:space="0"/>
                    <w:right w:val="single" w:color="000000" w:sz="4" w:space="0"/>
                  </w:tcBorders>
                  <w:vAlign w:val="top"/>
                </w:tcPr>
                <w:p w14:paraId="1AE27E24">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“平安铃”</w:t>
                  </w:r>
                </w:p>
                <w:p w14:paraId="0196E4B8">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服务</w:t>
                  </w:r>
                </w:p>
              </w:tc>
              <w:tc>
                <w:tcPr>
                  <w:tcW w:w="2988" w:type="dxa"/>
                  <w:tcBorders>
                    <w:top w:val="nil"/>
                    <w:left w:val="nil"/>
                    <w:bottom w:val="single" w:color="000000" w:sz="4" w:space="0"/>
                    <w:right w:val="single" w:color="000000" w:sz="4" w:space="0"/>
                  </w:tcBorders>
                  <w:vAlign w:val="top"/>
                </w:tcPr>
                <w:p w14:paraId="72DB731B">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教服务对象使用“平安铃”，将使用过程中遇到的问题及时反馈至“平安铃”公司。</w:t>
                  </w:r>
                </w:p>
              </w:tc>
              <w:tc>
                <w:tcPr>
                  <w:tcW w:w="1531" w:type="dxa"/>
                  <w:tcBorders>
                    <w:top w:val="nil"/>
                    <w:left w:val="nil"/>
                    <w:bottom w:val="single" w:color="000000" w:sz="4" w:space="0"/>
                    <w:right w:val="single" w:color="000000" w:sz="4" w:space="0"/>
                  </w:tcBorders>
                  <w:vAlign w:val="top"/>
                </w:tcPr>
                <w:p w14:paraId="197AC48C">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“平安铃”由平安铃公司负责提供及运营，项目工作人员需要协助老人使用和及时反馈有关问题。</w:t>
                  </w:r>
                </w:p>
              </w:tc>
            </w:tr>
            <w:tr w14:paraId="3F7D10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07B71490">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9</w:t>
                  </w:r>
                </w:p>
              </w:tc>
              <w:tc>
                <w:tcPr>
                  <w:tcW w:w="701" w:type="dxa"/>
                  <w:tcBorders>
                    <w:top w:val="nil"/>
                    <w:left w:val="nil"/>
                    <w:bottom w:val="single" w:color="000000" w:sz="4" w:space="0"/>
                    <w:right w:val="single" w:color="000000" w:sz="4" w:space="0"/>
                  </w:tcBorders>
                  <w:vAlign w:val="top"/>
                </w:tcPr>
                <w:p w14:paraId="0C4352A0">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居家安全与紧急救助服务</w:t>
                  </w:r>
                </w:p>
              </w:tc>
              <w:tc>
                <w:tcPr>
                  <w:tcW w:w="2988" w:type="dxa"/>
                  <w:tcBorders>
                    <w:top w:val="nil"/>
                    <w:left w:val="nil"/>
                    <w:bottom w:val="single" w:color="000000" w:sz="4" w:space="0"/>
                    <w:right w:val="single" w:color="000000" w:sz="4" w:space="0"/>
                  </w:tcBorders>
                  <w:vAlign w:val="top"/>
                </w:tcPr>
                <w:p w14:paraId="7B6D4356">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包括防摔保护、应急救护服务，用电、防火安全指导服务，食品安全指导服务，每半年开展一次家庭用水用电用火安全隐患排查，并跟进隐患整改，防诈骗宣传教育，协助提供法律援助等。</w:t>
                  </w:r>
                </w:p>
              </w:tc>
              <w:tc>
                <w:tcPr>
                  <w:tcW w:w="1531" w:type="dxa"/>
                  <w:tcBorders>
                    <w:top w:val="nil"/>
                    <w:left w:val="nil"/>
                    <w:bottom w:val="single" w:color="000000" w:sz="4" w:space="0"/>
                    <w:right w:val="single" w:color="000000" w:sz="4" w:space="0"/>
                  </w:tcBorders>
                  <w:vAlign w:val="top"/>
                </w:tcPr>
                <w:p w14:paraId="2CC81A29">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整合和链接社会各方面资源为老年人创造安全、舒适的生活环境，进行居家环境改善或改造。</w:t>
                  </w:r>
                </w:p>
              </w:tc>
            </w:tr>
            <w:tr w14:paraId="57460C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79E5DBC5">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10</w:t>
                  </w:r>
                </w:p>
              </w:tc>
              <w:tc>
                <w:tcPr>
                  <w:tcW w:w="701" w:type="dxa"/>
                  <w:tcBorders>
                    <w:top w:val="nil"/>
                    <w:left w:val="nil"/>
                    <w:bottom w:val="single" w:color="000000" w:sz="4" w:space="0"/>
                    <w:right w:val="single" w:color="000000" w:sz="4" w:space="0"/>
                  </w:tcBorders>
                  <w:vAlign w:val="top"/>
                </w:tcPr>
                <w:p w14:paraId="6BBB1F00">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拓展服务</w:t>
                  </w:r>
                </w:p>
              </w:tc>
              <w:tc>
                <w:tcPr>
                  <w:tcW w:w="2988" w:type="dxa"/>
                  <w:tcBorders>
                    <w:top w:val="nil"/>
                    <w:left w:val="nil"/>
                    <w:bottom w:val="single" w:color="000000" w:sz="4" w:space="0"/>
                    <w:right w:val="single" w:color="000000" w:sz="4" w:space="0"/>
                  </w:tcBorders>
                  <w:vAlign w:val="top"/>
                </w:tcPr>
                <w:p w14:paraId="3740067B">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拓展临终关怀、医疗保健、科技助老、金融助老等服务项目。</w:t>
                  </w:r>
                </w:p>
              </w:tc>
              <w:tc>
                <w:tcPr>
                  <w:tcW w:w="1531" w:type="dxa"/>
                  <w:tcBorders>
                    <w:top w:val="nil"/>
                    <w:left w:val="nil"/>
                    <w:bottom w:val="single" w:color="000000" w:sz="4" w:space="0"/>
                    <w:right w:val="single" w:color="000000" w:sz="4" w:space="0"/>
                  </w:tcBorders>
                  <w:vAlign w:val="top"/>
                </w:tcPr>
                <w:p w14:paraId="28291313">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根据服务对象实际需求来开展。</w:t>
                  </w:r>
                </w:p>
              </w:tc>
            </w:tr>
          </w:tbl>
          <w:p w14:paraId="51A851AD">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注：服务项目可参考“居家养老服务标准指引”执行（居家养老服务收费标准实行市场调节价），最终的服务内容以采购人与</w:t>
            </w:r>
            <w:r>
              <w:rPr>
                <w:rFonts w:hint="eastAsia" w:ascii="宋体" w:hAnsi="宋体" w:eastAsia="宋体" w:cs="宋体"/>
                <w:b/>
                <w:color w:val="000000"/>
                <w:sz w:val="22"/>
                <w:szCs w:val="22"/>
                <w:highlight w:val="none"/>
                <w:lang w:eastAsia="zh-CN"/>
              </w:rPr>
              <w:t>中标供应商</w:t>
            </w:r>
            <w:r>
              <w:rPr>
                <w:rFonts w:hint="eastAsia" w:ascii="宋体" w:hAnsi="宋体" w:eastAsia="宋体" w:cs="宋体"/>
                <w:b/>
                <w:color w:val="000000"/>
                <w:sz w:val="22"/>
                <w:szCs w:val="22"/>
                <w:highlight w:val="none"/>
              </w:rPr>
              <w:t>签订合同约定的内容为准。</w:t>
            </w:r>
          </w:p>
          <w:p w14:paraId="7DE8AA4E">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六、服务人员数量及要求</w:t>
            </w:r>
          </w:p>
          <w:p w14:paraId="7AB6B1BE">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（一）团队人员要求：</w:t>
            </w:r>
          </w:p>
          <w:p w14:paraId="0BD01CEB">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拥有专业的居家养老服务管理和服务团队，项目负责人必须具备3年以上的养老服务或医疗、健康服务从业经历和经验。结合大朗镇居家养老服务对象实际情况，拟配备1名负责人，负责项目运作的专业指导、行政及情感支持；护理人员负责老人的家庭清洁、日常照料服务；配备4名或以上社工及医学相关技术人员（其中至少安排社工1名，专职或兼职的康复师、营养师、护理师各1名）,为老人提供个案管理、情绪辅导、精神慰藉、临终关怀和康复服务等专业服务，引领社工助理、护理人员和义工参与居家养老服务；医学相关技术人员开展营养咨询和教育，膳食调查和评价等服务，协助做好对病人及其家属的咨询、辅导、接诊以及健康教育指导等服务，对肢体残疾的老人提供居家康复服务。配备2名社工助理对护理人员进行考核监督，回访老人，调查服务对象满意度，协助社工开展专业服务。</w:t>
            </w:r>
          </w:p>
          <w:p w14:paraId="28380DD6">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★（二）护理人员按照以下的比例进行配备：</w:t>
            </w:r>
          </w:p>
          <w:p w14:paraId="03887644">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按照1名护理人员服务10名服务对象的比例配置护理人员，配置比例不低于1：10。</w:t>
            </w:r>
          </w:p>
          <w:p w14:paraId="2433FED5">
            <w:pPr>
              <w:ind w:firstLine="440"/>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护理人员优先选聘具有大朗镇户籍的失业人员和农村富余劳动力人员，尤其是“4050”人员 (处于劳动年龄段40岁以上的女性和50岁以上的男性) 。由服务机构负责对护理人员进行专业培训，经考核及格后实行合同制管理，持证上岗，月工资由服务机构根据相关文件规定标准而定，不得低于全市最低工资标准，并为其购买社保及人身意外保险。</w:t>
            </w:r>
          </w:p>
          <w:p w14:paraId="783D0D77">
            <w:pPr>
              <w:ind w:firstLine="44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中标供应商应保证服务团队人员具备相应服务能力，确保服务平稳过渡，且人员上岗前必须提供健康证、年度体检报告等证明其工作能力，不得随意更换服务人员，如需更换，必须征得采购人书面同意。</w:t>
            </w:r>
          </w:p>
          <w:p w14:paraId="4B3EA72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（三）服务机构需为本项目配置专业督导(可由社工、康复师、营养师或护理师兼任) 。</w:t>
            </w:r>
          </w:p>
          <w:p w14:paraId="24F3B52F">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大朗镇10个村社区预计服务对象人数约310人(以实际发生数为准) ，需配备1名项目负责人，4名或以上社工及医学相关技术人员(其中至少安排社工1名，专职或兼职的康复师、营养师、护理师各1名) ，2名社工助理。个体老人的具体服务标准以第三方评估机构作出的能力等级评估结果来进行分类。购买人员配置可根据每月服务对象数量变动，由采购人与</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双方协商进行适当调整，</w:t>
            </w:r>
            <w:r>
              <w:rPr>
                <w:rFonts w:hint="eastAsia" w:ascii="宋体" w:hAnsi="宋体" w:eastAsia="宋体" w:cs="宋体"/>
                <w:b/>
                <w:color w:val="000000"/>
                <w:sz w:val="22"/>
                <w:szCs w:val="22"/>
                <w:highlight w:val="none"/>
              </w:rPr>
              <w:t>具体调整计算方法为：除护理人员外，其他服务人员配置数=实际老人服务人数 ÷合同预计老人数 ×合同要求配备的人员数，结果四舍五入。</w:t>
            </w:r>
          </w:p>
          <w:p w14:paraId="608A185B">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七、相关费用</w:t>
            </w:r>
          </w:p>
          <w:p w14:paraId="10539EF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★投标人须承诺：采购人可根据购买人员在岗率、社工配备比例情况、护理人员配备比例情况、工作量完成率、服务满意度等方面对</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承接本项目的运营情况进行考核，考核结果可作为服务机构整改内容和处罚的重要依据 (须提供单独承诺函，格式自拟）。</w:t>
            </w:r>
          </w:p>
          <w:p w14:paraId="2DD26A50">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八、服务协议的解除</w:t>
            </w:r>
          </w:p>
          <w:p w14:paraId="08E99367">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(一) 服务过程中如发现以下情况之一的，由服务机构向镇 (街道) 民政部门提出处理意见，并经同意后可以终止服务协议或提供转介服务：</w:t>
            </w:r>
          </w:p>
          <w:p w14:paraId="4B7302D4">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1、服务对象患有严重的传染性疾病的。</w:t>
            </w:r>
          </w:p>
          <w:p w14:paraId="07DB5105">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2、服务对象患有精神疾病且病情不稳定的。</w:t>
            </w:r>
          </w:p>
          <w:p w14:paraId="4EE6636E">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3、服务对象违反服务约定的。</w:t>
            </w:r>
          </w:p>
          <w:p w14:paraId="15225A51">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4、由于客观原因导致双方不能履行协议的。</w:t>
            </w:r>
          </w:p>
          <w:p w14:paraId="2D31578A">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5、双方协商同意终止协议的。</w:t>
            </w:r>
          </w:p>
          <w:p w14:paraId="609697D8">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符合第1、2项情形的，由服务机构通知服务对象委托人或近亲属送院治疗；无委托人或近亲属的，由服务机构通知服务对象所在村 (社区) 送院治疗。</w:t>
            </w:r>
          </w:p>
          <w:p w14:paraId="52AA8547">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九、服务质量评价</w:t>
            </w:r>
          </w:p>
          <w:p w14:paraId="3E062F7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1、评价主体：享受服务的老年人，无法表达评价意愿的，可由家属代评。</w:t>
            </w:r>
          </w:p>
          <w:p w14:paraId="48FF5C81">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2、评价监管平台：东莞市智慧养老服务平台 (以下简称“平台”)</w:t>
            </w:r>
          </w:p>
          <w:p w14:paraId="2D8A6849">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3、服务人员的基础分值为100分，服务评分每月初始化，不予累计。</w:t>
            </w:r>
          </w:p>
          <w:p w14:paraId="40CEBE2E">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4、评价方式：现场评价和平安铃回访评价两种方式，各占评分的50%。</w:t>
            </w:r>
          </w:p>
          <w:p w14:paraId="5FCB870F">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①现场评价：在完成服务后2个小时内，由服务对象通过服务人员的手机端应用对服务单进行满意度评价。现场评价必须遵循老年人的意愿，严禁服务人员自行评价、弄虚作假。</w:t>
            </w:r>
          </w:p>
          <w:p w14:paraId="548F011B">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②平安铃电话回访：居家养老服务对象均会配备“平安铃设备”。服务结束后，平台将会随机抽样50%的服务单，由“平安铃”呼叫中心在一周内通过电话回访完成评价工作。如因特殊情况无法回访的(包括电话无信号、老人自身原因不开机或无法使用、平安铃派机不及时等) ，按不加减分处理。</w:t>
            </w:r>
          </w:p>
          <w:p w14:paraId="4F5A6AA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评价意见分为“满意”、“一般”、“不满意”。评价为“满意”的每张服务单得0.1分；评价为“一般”的，不增减分；评价为“不满意”的，每单扣3分(由于服务人员没有做好“平安铃”日常检查工作，导致因设备关机而一周内回访失败的，每张服务单扣1分)。</w:t>
            </w:r>
          </w:p>
          <w:p w14:paraId="6A2D840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6、所有现场评价为“一般”或“不满意”的服务单将被纳入“平安铃”电话回访的抽样范围；未被抽中进行电话回访的服务单，其回访评价将默认为“满意”。</w:t>
            </w:r>
          </w:p>
          <w:p w14:paraId="573530E9">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7、单张服务单得分=现场评价得分×50%+回访评价得分×50%</w:t>
            </w:r>
          </w:p>
          <w:p w14:paraId="2A5892A6">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服务人员月度服务得分=基础服务得分+月度服务单得分累计值。</w:t>
            </w:r>
          </w:p>
          <w:p w14:paraId="7C75CA14">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8、对扣分项目进行“三级复核”，若属于服务人员责任的，核实后将予以扣分，若属于服务对象误会或恶意差评的，核实后将不予加减分。相关核查方法按《东莞市民政局 东莞市财政局关于印发&lt;东莞市居家养老服务项目补助资金结算实施细则&gt; 的通知》执行。</w:t>
            </w:r>
          </w:p>
          <w:p w14:paraId="0877AF30">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十、结算方式</w:t>
            </w:r>
          </w:p>
          <w:p w14:paraId="3547D758">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（一）东莞市智慧养老服务平台根据服务评分对服务人员每月的服务单进行资金结算，具体结算标准如下：</w:t>
            </w:r>
          </w:p>
          <w:tbl>
            <w:tblPr>
              <w:tblStyle w:val="8"/>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797"/>
              <w:gridCol w:w="2796"/>
            </w:tblGrid>
            <w:tr w14:paraId="662369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single" w:color="000000" w:sz="4" w:space="0"/>
                    <w:left w:val="single" w:color="000000" w:sz="4" w:space="0"/>
                    <w:bottom w:val="single" w:color="000000" w:sz="4" w:space="0"/>
                    <w:right w:val="single" w:color="000000" w:sz="4" w:space="0"/>
                  </w:tcBorders>
                  <w:vAlign w:val="top"/>
                </w:tcPr>
                <w:p w14:paraId="562688C5">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服务评分</w:t>
                  </w:r>
                </w:p>
              </w:tc>
              <w:tc>
                <w:tcPr>
                  <w:tcW w:w="2799" w:type="dxa"/>
                  <w:tcBorders>
                    <w:top w:val="single" w:color="000000" w:sz="4" w:space="0"/>
                    <w:left w:val="single" w:color="000000" w:sz="4" w:space="0"/>
                    <w:bottom w:val="single" w:color="000000" w:sz="4" w:space="0"/>
                    <w:right w:val="single" w:color="000000" w:sz="4" w:space="0"/>
                  </w:tcBorders>
                  <w:vAlign w:val="top"/>
                </w:tcPr>
                <w:p w14:paraId="17E4280F">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结算标准</w:t>
                  </w:r>
                </w:p>
              </w:tc>
            </w:tr>
            <w:tr w14:paraId="028E42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vAlign w:val="top"/>
                </w:tcPr>
                <w:p w14:paraId="5BEE987D">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90分（含）以上</w:t>
                  </w:r>
                </w:p>
              </w:tc>
              <w:tc>
                <w:tcPr>
                  <w:tcW w:w="2799" w:type="dxa"/>
                  <w:tcBorders>
                    <w:top w:val="nil"/>
                    <w:left w:val="single" w:color="000000" w:sz="4" w:space="0"/>
                    <w:bottom w:val="single" w:color="000000" w:sz="4" w:space="0"/>
                    <w:right w:val="single" w:color="000000" w:sz="4" w:space="0"/>
                  </w:tcBorders>
                  <w:vAlign w:val="top"/>
                </w:tcPr>
                <w:p w14:paraId="46555EC1">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100%比例拨付资金</w:t>
                  </w:r>
                </w:p>
              </w:tc>
            </w:tr>
            <w:tr w14:paraId="0A3C41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vAlign w:val="top"/>
                </w:tcPr>
                <w:p w14:paraId="6C0D05D8">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80分-89分</w:t>
                  </w:r>
                </w:p>
              </w:tc>
              <w:tc>
                <w:tcPr>
                  <w:tcW w:w="2799" w:type="dxa"/>
                  <w:tcBorders>
                    <w:top w:val="nil"/>
                    <w:left w:val="single" w:color="000000" w:sz="4" w:space="0"/>
                    <w:bottom w:val="single" w:color="000000" w:sz="4" w:space="0"/>
                    <w:right w:val="single" w:color="000000" w:sz="4" w:space="0"/>
                  </w:tcBorders>
                  <w:vAlign w:val="top"/>
                </w:tcPr>
                <w:p w14:paraId="54EFF143">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扣减1%的当月服务费</w:t>
                  </w:r>
                </w:p>
              </w:tc>
            </w:tr>
            <w:tr w14:paraId="46E06A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vAlign w:val="top"/>
                </w:tcPr>
                <w:p w14:paraId="4DC7AF34">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70分-79分</w:t>
                  </w:r>
                </w:p>
              </w:tc>
              <w:tc>
                <w:tcPr>
                  <w:tcW w:w="2799" w:type="dxa"/>
                  <w:tcBorders>
                    <w:top w:val="nil"/>
                    <w:left w:val="single" w:color="000000" w:sz="4" w:space="0"/>
                    <w:bottom w:val="single" w:color="000000" w:sz="4" w:space="0"/>
                    <w:right w:val="single" w:color="000000" w:sz="4" w:space="0"/>
                  </w:tcBorders>
                  <w:vAlign w:val="top"/>
                </w:tcPr>
                <w:p w14:paraId="71AAFB6A">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扣减2%的当月服务费</w:t>
                  </w:r>
                </w:p>
              </w:tc>
            </w:tr>
            <w:tr w14:paraId="30FDC7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vAlign w:val="top"/>
                </w:tcPr>
                <w:p w14:paraId="6C716903">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70分（不含）以下</w:t>
                  </w:r>
                </w:p>
              </w:tc>
              <w:tc>
                <w:tcPr>
                  <w:tcW w:w="2799" w:type="dxa"/>
                  <w:tcBorders>
                    <w:top w:val="nil"/>
                    <w:left w:val="single" w:color="000000" w:sz="4" w:space="0"/>
                    <w:bottom w:val="single" w:color="000000" w:sz="4" w:space="0"/>
                    <w:right w:val="single" w:color="000000" w:sz="4" w:space="0"/>
                  </w:tcBorders>
                  <w:vAlign w:val="top"/>
                </w:tcPr>
                <w:p w14:paraId="0AE4C4FB">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扣减40%的当月服务费</w:t>
                  </w:r>
                </w:p>
              </w:tc>
            </w:tr>
          </w:tbl>
          <w:p w14:paraId="49E2CF0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（二）对服务评分低于70分的服务人员，由市民政局在全市范围内予以通报，并由</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、镇街督促其整改。整改后仍出现不合格情况的，由采购人有权要求中止其服务合同。</w:t>
            </w:r>
          </w:p>
          <w:p w14:paraId="653E934E">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（三）平台将根据各服务人员每个服务单的实际费用，自动汇总计算形成</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月度服务账单和镇月度服务账单。</w:t>
            </w:r>
          </w:p>
          <w:p w14:paraId="4EE0AE82">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十一、项目服务质量评估</w:t>
            </w:r>
          </w:p>
          <w:p w14:paraId="4528559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1、项目服务质量评估由市民政局采取政府购买服务的方式委托第三方评估机构组织实施，评估工作经费列入市民政局年度部门预算安排。</w:t>
            </w:r>
          </w:p>
          <w:p w14:paraId="647604DD">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2、居家养老服务评估主要包括服务数量、场地硬件、制度建设、服务质素、服务成效、服务公开等六个方面。</w:t>
            </w:r>
          </w:p>
          <w:p w14:paraId="0E02D89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3、评估结果按服务项目类别分为优秀、良好、合格、不合格4个等级。评估结果通过媒体或网站公示7天。</w:t>
            </w:r>
          </w:p>
          <w:p w14:paraId="7F8D362A">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4、对评估结果有异议的，应在公示期结束后7个工作日内向市民政局提出复评申请，由市民政局组织复评，复评结果为最终结果。</w:t>
            </w:r>
          </w:p>
          <w:p w14:paraId="4226E774">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对评估确定为不合格的服务机构或自主供给服务的村(社区)，由市民政局会同各镇(街道)民政部门督促整改。整改后仍不合格的自主供给服务的村(社区)，由市民政局在全市范围予以公示，并中止其服务合同；整改后仍不合格的服务机构，由采购人中止其服务合同。</w:t>
            </w:r>
          </w:p>
          <w:p w14:paraId="0E5B4FE7">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十二、服务监督管理</w:t>
            </w:r>
          </w:p>
          <w:p w14:paraId="5DDBED85">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(一)居家养老服务资金必须全部用于居家养老服务，任何单位和个人不得骗取、套取或截留、挤占、挪用；涉嫌违法犯罪的，依法追究其法律责任。</w:t>
            </w:r>
          </w:p>
          <w:p w14:paraId="6D1B3938">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(二)申请服务资助的申请人必须提供真实、有效、完备的资料和凭证。对有弄虚作假、骗取资助行为的，取消其资助资格，追回资助经费；涉嫌违法犯罪的，依法追究其法律责任。</w:t>
            </w:r>
          </w:p>
          <w:p w14:paraId="1CEA5830">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三)服务机构负责社工、社工助理和护理人员日常管理、考核，对未达到协议标准的或不能通过相关工作考核的服务人员予以教育、改正或调换，并配合采购人对社工、社工助理和护理人员进行管理、教育、培训、考核等以促进社工和护理人员能力的不断提升。</w:t>
            </w:r>
          </w:p>
          <w:p w14:paraId="56555C0D">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(四) 服务机构需按照《东莞市居家养老服务管理办法 (修订) 》  (东府办〔2021〕12号) 的相关规定，完善对服务对象的服务需求评估建立健全服务资料档案，保证服务质量。</w:t>
            </w:r>
          </w:p>
          <w:p w14:paraId="60171E2F">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十三、服务范围</w:t>
            </w:r>
          </w:p>
          <w:p w14:paraId="4EE063E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大朗镇10个社区（村）：包括：长塘、黄草朗、洋乌、洋坑塘、松木山、水平、犀牛陂、屏山、宝陂、新马莲，服务老人约</w:t>
            </w:r>
            <w:r>
              <w:rPr>
                <w:rFonts w:hint="eastAsia" w:ascii="宋体" w:hAnsi="宋体" w:eastAsia="宋体" w:cs="宋体"/>
                <w:color w:val="000000"/>
                <w:sz w:val="22"/>
                <w:szCs w:val="22"/>
                <w:highlight w:val="none"/>
              </w:rPr>
              <w:t>310名（以实际数量为准）</w:t>
            </w:r>
            <w:r>
              <w:rPr>
                <w:rFonts w:hint="eastAsia" w:ascii="宋体" w:hAnsi="宋体" w:eastAsia="宋体" w:cs="宋体"/>
                <w:color w:val="000000"/>
                <w:sz w:val="22"/>
                <w:szCs w:val="22"/>
                <w:highlight w:val="none"/>
              </w:rPr>
              <w:t>。</w:t>
            </w:r>
          </w:p>
          <w:p w14:paraId="45D5D227">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★十四、服务时间、费用</w:t>
            </w:r>
          </w:p>
          <w:p w14:paraId="2F5DBFC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服务费用构成包括人员薪酬、开展活动用的物资成本费用、宣传费用、培训费用、机构管理费、税费等其他一切费用，根据《东莞市居家养老服务管理办法(修订) 》(东府办〔2021〕12号) 文件要求，以重度失能的老人每人每月720元，中度失能的老人每人每月480元，轻度失能或能力完好的老人每人每月360元的服务标准提供居家养老服务，费用按照实际服务人数计算，总预算费用480万元。如若在服务期内市相关部门出台新的文件要求或服务标准，采购人应按新文件要求或服务标准对服务合同作出修改。</w:t>
            </w:r>
          </w:p>
          <w:tbl>
            <w:tblPr>
              <w:tblStyle w:val="8"/>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305"/>
              <w:gridCol w:w="1672"/>
              <w:gridCol w:w="1616"/>
            </w:tblGrid>
            <w:tr w14:paraId="15153E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07" w:type="dxa"/>
                  <w:tcBorders>
                    <w:top w:val="single" w:color="000000" w:sz="4" w:space="0"/>
                    <w:left w:val="single" w:color="000000" w:sz="4" w:space="0"/>
                    <w:bottom w:val="single" w:color="000000" w:sz="4" w:space="0"/>
                    <w:right w:val="single" w:color="000000" w:sz="4" w:space="0"/>
                  </w:tcBorders>
                  <w:vAlign w:val="top"/>
                </w:tcPr>
                <w:p w14:paraId="7075657B">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服务对象</w:t>
                  </w:r>
                </w:p>
              </w:tc>
              <w:tc>
                <w:tcPr>
                  <w:tcW w:w="1673" w:type="dxa"/>
                  <w:tcBorders>
                    <w:top w:val="single" w:color="000000" w:sz="4" w:space="0"/>
                    <w:left w:val="nil"/>
                    <w:bottom w:val="single" w:color="000000" w:sz="4" w:space="0"/>
                    <w:right w:val="single" w:color="000000" w:sz="4" w:space="0"/>
                  </w:tcBorders>
                  <w:vAlign w:val="top"/>
                </w:tcPr>
                <w:p w14:paraId="1BC76C98">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初步预计人数（以审批后实际服务人数为准）</w:t>
                  </w:r>
                </w:p>
              </w:tc>
              <w:tc>
                <w:tcPr>
                  <w:tcW w:w="1617" w:type="dxa"/>
                  <w:tcBorders>
                    <w:top w:val="single" w:color="000000" w:sz="4" w:space="0"/>
                    <w:left w:val="nil"/>
                    <w:bottom w:val="single" w:color="000000" w:sz="4" w:space="0"/>
                    <w:right w:val="single" w:color="000000" w:sz="4" w:space="0"/>
                  </w:tcBorders>
                  <w:vAlign w:val="top"/>
                </w:tcPr>
                <w:p w14:paraId="5ECC0641">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服务费用标准（人民币 元/人/月）</w:t>
                  </w:r>
                </w:p>
              </w:tc>
            </w:tr>
            <w:tr w14:paraId="726FAC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07" w:type="dxa"/>
                  <w:tcBorders>
                    <w:top w:val="nil"/>
                    <w:left w:val="single" w:color="000000" w:sz="4" w:space="0"/>
                    <w:bottom w:val="single" w:color="000000" w:sz="4" w:space="0"/>
                    <w:right w:val="single" w:color="000000" w:sz="4" w:space="0"/>
                  </w:tcBorders>
                  <w:vAlign w:val="top"/>
                </w:tcPr>
                <w:p w14:paraId="775CFD95">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经评估属于重度失能的</w:t>
                  </w:r>
                </w:p>
              </w:tc>
              <w:tc>
                <w:tcPr>
                  <w:tcW w:w="1673" w:type="dxa"/>
                  <w:tcBorders>
                    <w:top w:val="nil"/>
                    <w:left w:val="nil"/>
                    <w:bottom w:val="single" w:color="000000" w:sz="4" w:space="0"/>
                    <w:right w:val="single" w:color="000000" w:sz="4" w:space="0"/>
                  </w:tcBorders>
                  <w:vAlign w:val="top"/>
                </w:tcPr>
                <w:p w14:paraId="4E748330">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210</w:t>
                  </w:r>
                </w:p>
              </w:tc>
              <w:tc>
                <w:tcPr>
                  <w:tcW w:w="1617" w:type="dxa"/>
                  <w:tcBorders>
                    <w:top w:val="nil"/>
                    <w:left w:val="nil"/>
                    <w:bottom w:val="single" w:color="000000" w:sz="4" w:space="0"/>
                    <w:right w:val="single" w:color="000000" w:sz="4" w:space="0"/>
                  </w:tcBorders>
                  <w:vAlign w:val="top"/>
                </w:tcPr>
                <w:p w14:paraId="1D9B5176">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720</w:t>
                  </w:r>
                </w:p>
              </w:tc>
            </w:tr>
            <w:tr w14:paraId="5601FE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07" w:type="dxa"/>
                  <w:tcBorders>
                    <w:top w:val="nil"/>
                    <w:left w:val="single" w:color="000000" w:sz="4" w:space="0"/>
                    <w:bottom w:val="single" w:color="000000" w:sz="4" w:space="0"/>
                    <w:right w:val="single" w:color="000000" w:sz="4" w:space="0"/>
                  </w:tcBorders>
                  <w:vAlign w:val="top"/>
                </w:tcPr>
                <w:p w14:paraId="14922D17">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经评估属于中度失能的</w:t>
                  </w:r>
                </w:p>
              </w:tc>
              <w:tc>
                <w:tcPr>
                  <w:tcW w:w="1673" w:type="dxa"/>
                  <w:tcBorders>
                    <w:top w:val="nil"/>
                    <w:left w:val="nil"/>
                    <w:bottom w:val="single" w:color="000000" w:sz="4" w:space="0"/>
                    <w:right w:val="single" w:color="000000" w:sz="4" w:space="0"/>
                  </w:tcBorders>
                  <w:vAlign w:val="top"/>
                </w:tcPr>
                <w:p w14:paraId="314271B9">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97</w:t>
                  </w:r>
                </w:p>
              </w:tc>
              <w:tc>
                <w:tcPr>
                  <w:tcW w:w="1617" w:type="dxa"/>
                  <w:tcBorders>
                    <w:top w:val="nil"/>
                    <w:left w:val="nil"/>
                    <w:bottom w:val="single" w:color="000000" w:sz="4" w:space="0"/>
                    <w:right w:val="single" w:color="000000" w:sz="4" w:space="0"/>
                  </w:tcBorders>
                  <w:vAlign w:val="top"/>
                </w:tcPr>
                <w:p w14:paraId="2033BE23">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480</w:t>
                  </w:r>
                </w:p>
              </w:tc>
            </w:tr>
            <w:tr w14:paraId="729466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07" w:type="dxa"/>
                  <w:tcBorders>
                    <w:top w:val="nil"/>
                    <w:left w:val="single" w:color="000000" w:sz="4" w:space="0"/>
                    <w:bottom w:val="single" w:color="000000" w:sz="4" w:space="0"/>
                    <w:right w:val="single" w:color="000000" w:sz="4" w:space="0"/>
                  </w:tcBorders>
                  <w:vAlign w:val="top"/>
                </w:tcPr>
                <w:p w14:paraId="32C4E56A">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经评估属于轻度失能或能力完好的</w:t>
                  </w:r>
                </w:p>
              </w:tc>
              <w:tc>
                <w:tcPr>
                  <w:tcW w:w="1673" w:type="dxa"/>
                  <w:tcBorders>
                    <w:top w:val="nil"/>
                    <w:left w:val="nil"/>
                    <w:bottom w:val="single" w:color="000000" w:sz="4" w:space="0"/>
                    <w:right w:val="single" w:color="000000" w:sz="4" w:space="0"/>
                  </w:tcBorders>
                  <w:vAlign w:val="top"/>
                </w:tcPr>
                <w:p w14:paraId="772B2421">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w:t>
                  </w:r>
                </w:p>
              </w:tc>
              <w:tc>
                <w:tcPr>
                  <w:tcW w:w="1617" w:type="dxa"/>
                  <w:tcBorders>
                    <w:top w:val="nil"/>
                    <w:left w:val="nil"/>
                    <w:bottom w:val="single" w:color="000000" w:sz="4" w:space="0"/>
                    <w:right w:val="single" w:color="000000" w:sz="4" w:space="0"/>
                  </w:tcBorders>
                  <w:vAlign w:val="top"/>
                </w:tcPr>
                <w:p w14:paraId="2AE4A067">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360</w:t>
                  </w:r>
                </w:p>
              </w:tc>
            </w:tr>
            <w:tr w14:paraId="3CDF2C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07" w:type="dxa"/>
                  <w:tcBorders>
                    <w:top w:val="nil"/>
                    <w:left w:val="single" w:color="000000" w:sz="4" w:space="0"/>
                    <w:bottom w:val="single" w:color="000000" w:sz="4" w:space="0"/>
                    <w:right w:val="single" w:color="000000" w:sz="4" w:space="0"/>
                  </w:tcBorders>
                  <w:vAlign w:val="top"/>
                </w:tcPr>
                <w:p w14:paraId="1CECB99E">
                  <w:pPr>
                    <w:jc w:val="center"/>
                    <w:rPr>
                      <w:rFonts w:hint="eastAsia" w:ascii="宋体" w:hAnsi="宋体" w:eastAsia="宋体" w:cs="宋体"/>
                      <w:sz w:val="22"/>
                      <w:szCs w:val="22"/>
                      <w:highlight w:val="none"/>
                    </w:rPr>
                  </w:pPr>
                </w:p>
              </w:tc>
              <w:tc>
                <w:tcPr>
                  <w:tcW w:w="1673" w:type="dxa"/>
                  <w:tcBorders>
                    <w:top w:val="nil"/>
                    <w:left w:val="nil"/>
                    <w:bottom w:val="single" w:color="000000" w:sz="4" w:space="0"/>
                    <w:right w:val="single" w:color="000000" w:sz="4" w:space="0"/>
                  </w:tcBorders>
                  <w:vAlign w:val="top"/>
                </w:tcPr>
                <w:p w14:paraId="6FDBC310">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310</w:t>
                  </w:r>
                </w:p>
              </w:tc>
              <w:tc>
                <w:tcPr>
                  <w:tcW w:w="1617" w:type="dxa"/>
                  <w:tcBorders>
                    <w:top w:val="nil"/>
                    <w:left w:val="nil"/>
                    <w:bottom w:val="single" w:color="000000" w:sz="4" w:space="0"/>
                    <w:right w:val="single" w:color="000000" w:sz="4" w:space="0"/>
                  </w:tcBorders>
                  <w:vAlign w:val="top"/>
                </w:tcPr>
                <w:p w14:paraId="039CFA37">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w:t>
                  </w:r>
                </w:p>
              </w:tc>
            </w:tr>
          </w:tbl>
          <w:p w14:paraId="7C5D1537">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十五、其他要求</w:t>
            </w:r>
          </w:p>
          <w:p w14:paraId="7539A335">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投标人应保障对专业人才服务购买费用的投入，其中社工、康复师、营养师及护理师岗位购买费用应按照《东莞市人民政府办公室关于印发&lt;东莞市政府购买社会工作服务实施办法&gt; 的通知》  (东府办[2021]8号) 规定予以投入，若在服务期内，东莞市社工服务购买指导价发生增长的，采购人有权要求</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追加相关投入。护理人员月工资不能低于东莞市最低工资标准1900元/月 (如东莞市最低工资标准有调整，调整的差价由</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负责) 。</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不得拖欠或克扣社工、社工助理、康复师、营养师、护理师及护理人员的工资，工作时间和休息休假需按照《中华人民共和国劳动法》执行。</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在服务期内，不得中途自行转卖项目，不得擅自变更法人代表，如确有必要，需提前征得采购人同意。</w:t>
            </w:r>
          </w:p>
          <w:p w14:paraId="5A4C005C">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十六、其他</w:t>
            </w:r>
          </w:p>
          <w:p w14:paraId="632A667B">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(1) 投标人应符合《政府购买服务管理办法》(财政部令第102号) 规定，并具备以下条件：</w:t>
            </w:r>
          </w:p>
          <w:p w14:paraId="079AF8A8">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1、具有独立承担民事责任的能力，并具备参加政府采购活动的合法条件；</w:t>
            </w:r>
          </w:p>
          <w:p w14:paraId="17AFF908">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2、具有履行合同所必需的设施和设备，拥有专业的居家养老服务管理和服务团队；项目负责人具有3年以上的养老服务或医疗、健康服务业从业经历和经验；</w:t>
            </w:r>
          </w:p>
          <w:p w14:paraId="4CA8A684">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3、具有依法缴纳税费和社会保障资金的良好记录，财务状况良好；</w:t>
            </w:r>
          </w:p>
          <w:p w14:paraId="079AB8BF">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4、提供康复护理服务的机构，应根据服务资源、服务对象失能程度等实际情况，合理确定护理人员与服务对象的配备比例；护理人员应完成专业岗前培训或具有专业技术教育背景；</w:t>
            </w:r>
          </w:p>
          <w:p w14:paraId="3B6EC52E">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5、能严格按照协议使用服务设施，自觉接受民政部门管理和指导；认真落实消防、环保、卫生、安全管理等相关法律法规要求，并购买场地意外责任保险；</w:t>
            </w:r>
          </w:p>
          <w:p w14:paraId="036157D3">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6、能有效管理社区居家养老服务相关文件和档案，真实完整记录并及时更新服务对象信息，保护个人信息安全；机构应在服务合同到期前，至少提前14个工作日主动将居家养老服务相关文件、服务对象档案、服务记录台账等全部资料移交给服务采购单位；</w:t>
            </w:r>
          </w:p>
          <w:p w14:paraId="06416B0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7、建立防范服务风险制度，为工作人员购买人身意外保险；</w:t>
            </w:r>
          </w:p>
          <w:p w14:paraId="5594465B">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8、必须在居家养老服务内容范围内开展服务。不得以居家养老服务为名从事传销、强迫性消费等损害老年人合法权益和公共利益的活动。</w:t>
            </w:r>
          </w:p>
          <w:p w14:paraId="735D5E4D">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(2) 市场退出机制</w:t>
            </w:r>
          </w:p>
          <w:p w14:paraId="3ABA7154">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服务机构存在以下行为的，由园区、镇(街道) 民政部门根据合同约定，采取约谈、督促整改、暂停资金结算等措施；情节严重的，暂停合同履行。</w:t>
            </w:r>
          </w:p>
          <w:p w14:paraId="52A118CB">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1、不按承诺提供服务或者服务质量低于行业标准；</w:t>
            </w:r>
          </w:p>
          <w:p w14:paraId="5FF6D23B">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2、接到服务对象投诉拒绝处理；</w:t>
            </w:r>
          </w:p>
          <w:p w14:paraId="4392F0CD">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3、一年内多次被服务对象投诉，经核实责任在服务机构3次以上；</w:t>
            </w:r>
          </w:p>
          <w:p w14:paraId="648BEF47">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4、不按规定程序录入服务工单和结算；</w:t>
            </w:r>
          </w:p>
          <w:p w14:paraId="3EFF51D3">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5、实际服务内容和申报服务内容不符；</w:t>
            </w:r>
          </w:p>
          <w:p w14:paraId="06C8B1BB">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6、以其他服务代替指定服务；</w:t>
            </w:r>
          </w:p>
          <w:p w14:paraId="4F94B674">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7、泄露服务对象个人信息，侵犯服务对象合法权益；</w:t>
            </w:r>
          </w:p>
          <w:p w14:paraId="2C38C96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8、采取不正当竞争手段，谋取不正当利益；</w:t>
            </w:r>
          </w:p>
          <w:p w14:paraId="6D77C2B5">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9、违反合同约定或者其他违规行为。</w:t>
            </w:r>
          </w:p>
          <w:p w14:paraId="5AB8297F">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服务机构存在以下行为的，园区、镇(街道) 民政部门一经查实，可依法依约停止其服务工单申报和资金结算，暂停合同履行1个季度至1年；情节严重的解除合同。</w:t>
            </w:r>
          </w:p>
          <w:p w14:paraId="0E4305D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1、提供虚假准入信息；</w:t>
            </w:r>
          </w:p>
          <w:p w14:paraId="7D4D38E0">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2、不按规定提供服务，套取现金或者将老年人服务额度转移间接套取服务补贴资金；</w:t>
            </w:r>
          </w:p>
          <w:p w14:paraId="03D682C5">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3、冒用老年人资料提供虚假服务；</w:t>
            </w:r>
          </w:p>
          <w:p w14:paraId="20EE7A7B">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4、服务满意率未达到90%；</w:t>
            </w:r>
          </w:p>
          <w:p w14:paraId="2EEAE2B3">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5、其他被认定为严重扰乱管理秩序的行为。</w:t>
            </w:r>
          </w:p>
          <w:p w14:paraId="6F914910">
            <w:pPr>
              <w:ind w:firstLine="440"/>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w:t>
            </w:r>
          </w:p>
          <w:p w14:paraId="460E1F9F">
            <w:pPr>
              <w:ind w:firstLine="440"/>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w:t>
            </w:r>
          </w:p>
        </w:tc>
      </w:tr>
      <w:tr w14:paraId="65C19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579F8B5">
            <w:pPr>
              <w:rPr>
                <w:rFonts w:hint="eastAsia" w:ascii="宋体" w:hAnsi="宋体" w:eastAsia="宋体" w:cs="宋体"/>
                <w:sz w:val="22"/>
                <w:szCs w:val="22"/>
                <w:highlight w:val="none"/>
              </w:rPr>
            </w:pPr>
            <w:r>
              <w:rPr>
                <w:rFonts w:hint="eastAsia" w:ascii="宋体" w:hAnsi="宋体" w:eastAsia="宋体" w:cs="宋体"/>
                <w:sz w:val="22"/>
                <w:szCs w:val="22"/>
                <w:highlight w:val="none"/>
              </w:rPr>
              <w:t>说明</w:t>
            </w:r>
          </w:p>
        </w:tc>
        <w:tc>
          <w:tcPr>
            <w:tcW w:w="6229" w:type="dxa"/>
            <w:gridSpan w:val="2"/>
          </w:tcPr>
          <w:p w14:paraId="3649CD3D">
            <w:pPr>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打“★”号条款为实质性条款，若有任何一条负偏离或不满足则导致投标无效。</w:t>
            </w:r>
            <w:r>
              <w:rPr>
                <w:rFonts w:hint="eastAsia" w:ascii="宋体" w:hAnsi="宋体" w:eastAsia="宋体" w:cs="宋体"/>
                <w:sz w:val="22"/>
                <w:szCs w:val="22"/>
                <w:highlight w:val="none"/>
              </w:rPr>
              <w:br w:type="textWrapping"/>
            </w:r>
            <w:r>
              <w:rPr>
                <w:rFonts w:hint="eastAsia" w:ascii="宋体" w:hAnsi="宋体" w:eastAsia="宋体" w:cs="宋体"/>
                <w:sz w:val="22"/>
                <w:szCs w:val="22"/>
                <w:highlight w:val="none"/>
              </w:rPr>
              <w:t>打“▲”号条款为重要技术参数，若有部分“▲”条款未响应或不满足，将导致其响应性评审加重扣分，但不作为无效投标条款。</w:t>
            </w:r>
          </w:p>
        </w:tc>
      </w:tr>
    </w:tbl>
    <w:p w14:paraId="4C96812C">
      <w:pPr>
        <w:rPr>
          <w:rFonts w:hint="eastAsia" w:ascii="宋体" w:hAnsi="宋体" w:eastAsia="宋体" w:cs="宋体"/>
          <w:sz w:val="22"/>
          <w:szCs w:val="22"/>
          <w:highlight w:val="none"/>
        </w:rPr>
      </w:pPr>
    </w:p>
    <w:p w14:paraId="0D455A93">
      <w:pPr>
        <w:rPr>
          <w:rFonts w:hint="eastAsia" w:ascii="宋体" w:hAnsi="宋体" w:eastAsia="宋体" w:cs="宋体"/>
          <w:sz w:val="22"/>
          <w:szCs w:val="22"/>
          <w:highlight w:val="none"/>
        </w:rPr>
      </w:pPr>
      <w:r>
        <w:rPr>
          <w:rFonts w:hint="eastAsia" w:ascii="宋体" w:hAnsi="宋体" w:eastAsia="宋体" w:cs="宋体"/>
          <w:sz w:val="22"/>
          <w:szCs w:val="22"/>
          <w:highlight w:val="none"/>
        </w:rPr>
        <w:t>采购包2（18个村社区居家养老服务）</w:t>
      </w:r>
      <w:r>
        <w:rPr>
          <w:rFonts w:hint="eastAsia" w:ascii="宋体" w:hAnsi="宋体" w:eastAsia="宋体" w:cs="宋体"/>
          <w:b/>
          <w:sz w:val="22"/>
          <w:szCs w:val="22"/>
          <w:highlight w:val="none"/>
        </w:rPr>
        <w:t>1.主要商务要求</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68"/>
        <w:gridCol w:w="6138"/>
      </w:tblGrid>
      <w:tr w14:paraId="04212F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68" w:type="dxa"/>
          </w:tcPr>
          <w:p w14:paraId="67B86567">
            <w:pPr>
              <w:rPr>
                <w:rFonts w:hint="eastAsia" w:ascii="宋体" w:hAnsi="宋体" w:eastAsia="宋体" w:cs="宋体"/>
                <w:sz w:val="22"/>
                <w:szCs w:val="22"/>
                <w:highlight w:val="none"/>
              </w:rPr>
            </w:pPr>
            <w:r>
              <w:rPr>
                <w:rFonts w:hint="eastAsia" w:ascii="宋体" w:hAnsi="宋体" w:eastAsia="宋体" w:cs="宋体"/>
                <w:sz w:val="22"/>
                <w:szCs w:val="22"/>
                <w:highlight w:val="none"/>
              </w:rPr>
              <w:t>标的提供的时间</w:t>
            </w:r>
          </w:p>
        </w:tc>
        <w:tc>
          <w:tcPr>
            <w:tcW w:w="6138" w:type="dxa"/>
          </w:tcPr>
          <w:p w14:paraId="47481996">
            <w:pPr>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1年</w:t>
            </w:r>
            <w:r>
              <w:rPr>
                <w:rFonts w:hint="eastAsia" w:ascii="宋体" w:hAnsi="宋体" w:eastAsia="宋体" w:cs="宋体"/>
                <w:sz w:val="22"/>
                <w:szCs w:val="22"/>
                <w:highlight w:val="none"/>
              </w:rPr>
              <w:t>（</w:t>
            </w:r>
            <w:r>
              <w:rPr>
                <w:rFonts w:hint="eastAsia" w:ascii="宋体" w:hAnsi="宋体" w:eastAsia="宋体" w:cs="宋体"/>
                <w:sz w:val="22"/>
                <w:szCs w:val="22"/>
                <w:highlight w:val="none"/>
                <w:lang w:eastAsia="zh-CN"/>
              </w:rPr>
              <w:t>服务时间：2026年1月1日至12月31日</w:t>
            </w:r>
            <w:r>
              <w:rPr>
                <w:rFonts w:hint="eastAsia" w:ascii="宋体" w:hAnsi="宋体" w:eastAsia="宋体" w:cs="宋体"/>
                <w:sz w:val="22"/>
                <w:szCs w:val="22"/>
                <w:highlight w:val="none"/>
              </w:rPr>
              <w:t>）。</w:t>
            </w:r>
          </w:p>
        </w:tc>
      </w:tr>
      <w:tr w14:paraId="3273CB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68" w:type="dxa"/>
          </w:tcPr>
          <w:p w14:paraId="6EB56CCA">
            <w:pPr>
              <w:rPr>
                <w:rFonts w:hint="eastAsia" w:ascii="宋体" w:hAnsi="宋体" w:eastAsia="宋体" w:cs="宋体"/>
                <w:sz w:val="22"/>
                <w:szCs w:val="22"/>
                <w:highlight w:val="none"/>
              </w:rPr>
            </w:pPr>
            <w:r>
              <w:rPr>
                <w:rFonts w:hint="eastAsia" w:ascii="宋体" w:hAnsi="宋体" w:eastAsia="宋体" w:cs="宋体"/>
                <w:sz w:val="22"/>
                <w:szCs w:val="22"/>
                <w:highlight w:val="none"/>
              </w:rPr>
              <w:t>标的提供的地点</w:t>
            </w:r>
          </w:p>
        </w:tc>
        <w:tc>
          <w:tcPr>
            <w:tcW w:w="6138" w:type="dxa"/>
          </w:tcPr>
          <w:p w14:paraId="21DAC359">
            <w:pPr>
              <w:rPr>
                <w:rFonts w:hint="eastAsia" w:ascii="宋体" w:hAnsi="宋体" w:eastAsia="宋体" w:cs="宋体"/>
                <w:sz w:val="22"/>
                <w:szCs w:val="22"/>
                <w:highlight w:val="none"/>
              </w:rPr>
            </w:pPr>
            <w:r>
              <w:rPr>
                <w:rFonts w:hint="eastAsia" w:ascii="宋体" w:hAnsi="宋体" w:eastAsia="宋体" w:cs="宋体"/>
                <w:sz w:val="22"/>
                <w:szCs w:val="22"/>
                <w:highlight w:val="none"/>
              </w:rPr>
              <w:t>采购人指定的地点。</w:t>
            </w:r>
          </w:p>
        </w:tc>
      </w:tr>
      <w:tr w14:paraId="5ECFBD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68" w:type="dxa"/>
          </w:tcPr>
          <w:p w14:paraId="332D4D4D">
            <w:pPr>
              <w:rPr>
                <w:rFonts w:hint="eastAsia" w:ascii="宋体" w:hAnsi="宋体" w:eastAsia="宋体" w:cs="宋体"/>
                <w:sz w:val="22"/>
                <w:szCs w:val="22"/>
                <w:highlight w:val="none"/>
              </w:rPr>
            </w:pPr>
            <w:r>
              <w:rPr>
                <w:rFonts w:hint="eastAsia" w:ascii="宋体" w:hAnsi="宋体" w:eastAsia="宋体" w:cs="宋体"/>
                <w:sz w:val="22"/>
                <w:szCs w:val="22"/>
                <w:highlight w:val="none"/>
              </w:rPr>
              <w:t>付款方式</w:t>
            </w:r>
          </w:p>
        </w:tc>
        <w:tc>
          <w:tcPr>
            <w:tcW w:w="6138" w:type="dxa"/>
          </w:tcPr>
          <w:p w14:paraId="048ADABE">
            <w:pPr>
              <w:rPr>
                <w:rFonts w:hint="eastAsia" w:ascii="宋体" w:hAnsi="宋体" w:eastAsia="宋体" w:cs="宋体"/>
                <w:sz w:val="22"/>
                <w:szCs w:val="22"/>
                <w:highlight w:val="none"/>
              </w:rPr>
            </w:pPr>
            <w:r>
              <w:rPr>
                <w:rFonts w:hint="eastAsia" w:ascii="宋体" w:hAnsi="宋体" w:eastAsia="宋体" w:cs="宋体"/>
                <w:sz w:val="22"/>
                <w:szCs w:val="22"/>
                <w:highlight w:val="none"/>
              </w:rPr>
              <w:t>1期：支付比例100%,</w:t>
            </w:r>
            <w:r>
              <w:rPr>
                <w:rFonts w:hint="eastAsia" w:ascii="宋体" w:hAnsi="宋体" w:eastAsia="宋体" w:cs="宋体"/>
                <w:sz w:val="22"/>
                <w:szCs w:val="22"/>
                <w:highlight w:val="none"/>
                <w:lang w:eastAsia="zh-CN"/>
              </w:rPr>
              <w:t>中标供应商</w:t>
            </w:r>
            <w:r>
              <w:rPr>
                <w:rFonts w:hint="eastAsia" w:ascii="宋体" w:hAnsi="宋体" w:eastAsia="宋体" w:cs="宋体"/>
                <w:sz w:val="22"/>
                <w:szCs w:val="22"/>
                <w:highlight w:val="none"/>
              </w:rPr>
              <w:t>于每月5日前核对确认东莞市智慧养老服务平台（以下简称“平台”）上一个月月度账单，在确认无误后将其导出签字盖章后提交给采购人并上传至平台；采购人在每月10日前，完成上一月月度服务账单审核，并在签字盖章完成后回传至平台；财政主管部门在每月28日前，按采购人上一个月度帐单，将上一个月结算金额按照支付规定向</w:t>
            </w:r>
            <w:r>
              <w:rPr>
                <w:rFonts w:hint="eastAsia" w:ascii="宋体" w:hAnsi="宋体" w:eastAsia="宋体" w:cs="宋体"/>
                <w:sz w:val="22"/>
                <w:szCs w:val="22"/>
                <w:highlight w:val="none"/>
                <w:lang w:eastAsia="zh-CN"/>
              </w:rPr>
              <w:t>中标供应商</w:t>
            </w:r>
            <w:r>
              <w:rPr>
                <w:rFonts w:hint="eastAsia" w:ascii="宋体" w:hAnsi="宋体" w:eastAsia="宋体" w:cs="宋体"/>
                <w:sz w:val="22"/>
                <w:szCs w:val="22"/>
                <w:highlight w:val="none"/>
              </w:rPr>
              <w:t>拨付。</w:t>
            </w:r>
          </w:p>
        </w:tc>
      </w:tr>
      <w:tr w14:paraId="40636E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68" w:type="dxa"/>
          </w:tcPr>
          <w:p w14:paraId="79B431A6">
            <w:pPr>
              <w:rPr>
                <w:rFonts w:hint="eastAsia" w:ascii="宋体" w:hAnsi="宋体" w:eastAsia="宋体" w:cs="宋体"/>
                <w:sz w:val="22"/>
                <w:szCs w:val="22"/>
                <w:highlight w:val="none"/>
              </w:rPr>
            </w:pPr>
            <w:r>
              <w:rPr>
                <w:rFonts w:hint="eastAsia" w:ascii="宋体" w:hAnsi="宋体" w:eastAsia="宋体" w:cs="宋体"/>
                <w:sz w:val="22"/>
                <w:szCs w:val="22"/>
                <w:highlight w:val="none"/>
              </w:rPr>
              <w:t>验收要求</w:t>
            </w:r>
          </w:p>
        </w:tc>
        <w:tc>
          <w:tcPr>
            <w:tcW w:w="6138" w:type="dxa"/>
          </w:tcPr>
          <w:p w14:paraId="34D62660">
            <w:pPr>
              <w:rPr>
                <w:rFonts w:hint="eastAsia" w:ascii="宋体" w:hAnsi="宋体" w:eastAsia="宋体" w:cs="宋体"/>
                <w:sz w:val="22"/>
                <w:szCs w:val="22"/>
                <w:highlight w:val="none"/>
              </w:rPr>
            </w:pPr>
            <w:r>
              <w:rPr>
                <w:rFonts w:hint="eastAsia" w:ascii="宋体" w:hAnsi="宋体" w:eastAsia="宋体" w:cs="宋体"/>
                <w:sz w:val="22"/>
                <w:szCs w:val="22"/>
                <w:highlight w:val="none"/>
              </w:rPr>
              <w:t>1期：验收工作按国家、省市有关规定、规范进行。保证居家养老服务质量，规范服务行为，服务标准及考核根据《东莞市居家养老服务管理办法（修订）》（东府办〔2021〕12号）文件精神执行，镇民政部门和村（居）民委员会有权对中标供应商的服务质量进行监督，如发现中标供应商存有不合理、不完善事项或服务质量问题，有权要求中标供应商改正。</w:t>
            </w:r>
          </w:p>
        </w:tc>
      </w:tr>
      <w:tr w14:paraId="056AF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68" w:type="dxa"/>
          </w:tcPr>
          <w:p w14:paraId="4840A74B">
            <w:pPr>
              <w:rPr>
                <w:rFonts w:hint="eastAsia" w:ascii="宋体" w:hAnsi="宋体" w:eastAsia="宋体" w:cs="宋体"/>
                <w:sz w:val="22"/>
                <w:szCs w:val="22"/>
                <w:highlight w:val="none"/>
              </w:rPr>
            </w:pPr>
            <w:r>
              <w:rPr>
                <w:rFonts w:hint="eastAsia" w:ascii="宋体" w:hAnsi="宋体" w:eastAsia="宋体" w:cs="宋体"/>
                <w:sz w:val="22"/>
                <w:szCs w:val="22"/>
                <w:highlight w:val="none"/>
              </w:rPr>
              <w:t>履约保证金</w:t>
            </w:r>
          </w:p>
        </w:tc>
        <w:tc>
          <w:tcPr>
            <w:tcW w:w="6138" w:type="dxa"/>
          </w:tcPr>
          <w:p w14:paraId="6137BD5D">
            <w:pPr>
              <w:rPr>
                <w:rFonts w:hint="eastAsia" w:ascii="宋体" w:hAnsi="宋体" w:eastAsia="宋体" w:cs="宋体"/>
                <w:sz w:val="22"/>
                <w:szCs w:val="22"/>
                <w:highlight w:val="none"/>
              </w:rPr>
            </w:pPr>
            <w:r>
              <w:rPr>
                <w:rFonts w:hint="eastAsia" w:ascii="宋体" w:hAnsi="宋体" w:eastAsia="宋体" w:cs="宋体"/>
                <w:sz w:val="22"/>
                <w:szCs w:val="22"/>
                <w:highlight w:val="none"/>
              </w:rPr>
              <w:t>不收取</w:t>
            </w:r>
          </w:p>
        </w:tc>
      </w:tr>
      <w:tr w14:paraId="329A0F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68" w:type="dxa"/>
          </w:tcPr>
          <w:p w14:paraId="363A28C1">
            <w:pPr>
              <w:rPr>
                <w:rFonts w:hint="eastAsia" w:ascii="宋体" w:hAnsi="宋体" w:eastAsia="宋体" w:cs="宋体"/>
                <w:sz w:val="22"/>
                <w:szCs w:val="22"/>
                <w:highlight w:val="none"/>
              </w:rPr>
            </w:pPr>
            <w:r>
              <w:rPr>
                <w:rFonts w:hint="eastAsia" w:ascii="宋体" w:hAnsi="宋体" w:eastAsia="宋体" w:cs="宋体"/>
                <w:sz w:val="22"/>
                <w:szCs w:val="22"/>
                <w:highlight w:val="none"/>
              </w:rPr>
              <w:t>其他</w:t>
            </w:r>
          </w:p>
        </w:tc>
        <w:tc>
          <w:tcPr>
            <w:tcW w:w="6138" w:type="dxa"/>
          </w:tcPr>
          <w:p w14:paraId="18C72330">
            <w:pPr>
              <w:rPr>
                <w:rFonts w:hint="eastAsia" w:ascii="宋体" w:hAnsi="宋体" w:eastAsia="宋体" w:cs="宋体"/>
                <w:sz w:val="22"/>
                <w:szCs w:val="22"/>
                <w:highlight w:val="none"/>
              </w:rPr>
            </w:pPr>
            <w:r>
              <w:rPr>
                <w:rFonts w:hint="eastAsia" w:ascii="宋体" w:hAnsi="宋体" w:eastAsia="宋体" w:cs="宋体"/>
                <w:sz w:val="22"/>
                <w:szCs w:val="22"/>
                <w:highlight w:val="none"/>
              </w:rPr>
              <w:t>1、劳动条件，工作人员的工作时间和休息休假需按照《中华人民共和国劳动法》执行。采购人应尊重</w:t>
            </w:r>
            <w:r>
              <w:rPr>
                <w:rFonts w:hint="eastAsia" w:ascii="宋体" w:hAnsi="宋体" w:eastAsia="宋体" w:cs="宋体"/>
                <w:sz w:val="22"/>
                <w:szCs w:val="22"/>
                <w:highlight w:val="none"/>
                <w:lang w:eastAsia="zh-CN"/>
              </w:rPr>
              <w:t>中标供应商</w:t>
            </w:r>
            <w:r>
              <w:rPr>
                <w:rFonts w:hint="eastAsia" w:ascii="宋体" w:hAnsi="宋体" w:eastAsia="宋体" w:cs="宋体"/>
                <w:sz w:val="22"/>
                <w:szCs w:val="22"/>
                <w:highlight w:val="none"/>
              </w:rPr>
              <w:t>工作人员及其工作成果，提供必要的工作环境。</w:t>
            </w:r>
          </w:p>
          <w:p w14:paraId="2BAD1DF2">
            <w:pPr>
              <w:rPr>
                <w:rFonts w:hint="eastAsia" w:ascii="宋体" w:hAnsi="宋体" w:eastAsia="宋体" w:cs="宋体"/>
                <w:sz w:val="22"/>
                <w:szCs w:val="22"/>
                <w:highlight w:val="none"/>
              </w:rPr>
            </w:pPr>
            <w:r>
              <w:rPr>
                <w:rFonts w:hint="eastAsia" w:ascii="宋体" w:hAnsi="宋体" w:eastAsia="宋体" w:cs="宋体"/>
                <w:sz w:val="22"/>
                <w:szCs w:val="22"/>
                <w:highlight w:val="none"/>
              </w:rPr>
              <w:t>2、报价应包含（人民币报价），报价包括全部合同责任的总花费和</w:t>
            </w:r>
            <w:r>
              <w:rPr>
                <w:rFonts w:hint="eastAsia" w:ascii="宋体" w:hAnsi="宋体" w:eastAsia="宋体" w:cs="宋体"/>
                <w:sz w:val="22"/>
                <w:szCs w:val="22"/>
                <w:highlight w:val="none"/>
                <w:lang w:eastAsia="zh-CN"/>
              </w:rPr>
              <w:t>中标供应商</w:t>
            </w:r>
            <w:r>
              <w:rPr>
                <w:rFonts w:hint="eastAsia" w:ascii="宋体" w:hAnsi="宋体" w:eastAsia="宋体" w:cs="宋体"/>
                <w:sz w:val="22"/>
                <w:szCs w:val="22"/>
                <w:highlight w:val="none"/>
              </w:rPr>
              <w:t>因承包本合同需缴纳的一切税费，并应包含但不限于以下全部费用：各项管理费、督导、社工、社工助理、护工等工作人员工资、福利、活动宣传费及开展活动所需的其它费用、医疗保险费、交通费、社保费、津贴、加班费、网络费、相关设备购置及维修费、活动差旅费、财务费用、利润、风险金、税金等一切技术和后期服务费（含相关技术指导和培训费）等所有不可预见的隐含费用（以上费用如涉及多次需求，所有费用都包含在内）。</w:t>
            </w:r>
          </w:p>
          <w:p w14:paraId="6B2F7A6D">
            <w:pPr>
              <w:rPr>
                <w:rFonts w:hint="eastAsia" w:ascii="宋体" w:hAnsi="宋体" w:eastAsia="宋体" w:cs="宋体"/>
                <w:sz w:val="22"/>
                <w:szCs w:val="22"/>
                <w:highlight w:val="none"/>
              </w:rPr>
            </w:pPr>
            <w:r>
              <w:rPr>
                <w:rFonts w:hint="eastAsia" w:ascii="宋体" w:hAnsi="宋体" w:eastAsia="宋体" w:cs="宋体"/>
                <w:sz w:val="22"/>
                <w:szCs w:val="22"/>
                <w:highlight w:val="none"/>
              </w:rPr>
              <w:t>3、合同条款，投标人实质响应合同各条款。</w:t>
            </w:r>
          </w:p>
        </w:tc>
      </w:tr>
    </w:tbl>
    <w:p w14:paraId="7F8AC54A">
      <w:pPr>
        <w:rPr>
          <w:rFonts w:hint="eastAsia" w:ascii="宋体" w:hAnsi="宋体" w:eastAsia="宋体" w:cs="宋体"/>
          <w:sz w:val="22"/>
          <w:szCs w:val="22"/>
          <w:highlight w:val="none"/>
        </w:rPr>
      </w:pPr>
      <w:r>
        <w:rPr>
          <w:rFonts w:hint="eastAsia" w:ascii="宋体" w:hAnsi="宋体" w:eastAsia="宋体" w:cs="宋体"/>
          <w:b/>
          <w:sz w:val="22"/>
          <w:szCs w:val="22"/>
          <w:highlight w:val="none"/>
        </w:rPr>
        <w:t>2.技术标准与要求</w:t>
      </w:r>
    </w:p>
    <w:p w14:paraId="6E9D2EC8">
      <w:pPr>
        <w:rPr>
          <w:rFonts w:hint="eastAsia" w:ascii="宋体" w:hAnsi="宋体" w:eastAsia="宋体" w:cs="宋体"/>
          <w:sz w:val="22"/>
          <w:szCs w:val="22"/>
          <w:highlight w:val="none"/>
        </w:rPr>
      </w:pPr>
    </w:p>
    <w:p w14:paraId="168A6A3E">
      <w:pPr>
        <w:rPr>
          <w:rFonts w:hint="eastAsia" w:ascii="宋体" w:hAnsi="宋体" w:eastAsia="宋体" w:cs="宋体"/>
          <w:sz w:val="22"/>
          <w:szCs w:val="22"/>
          <w:highlight w:val="none"/>
        </w:rPr>
      </w:pP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7"/>
        <w:gridCol w:w="778"/>
        <w:gridCol w:w="778"/>
        <w:gridCol w:w="778"/>
        <w:gridCol w:w="847"/>
        <w:gridCol w:w="1536"/>
        <w:gridCol w:w="1536"/>
        <w:gridCol w:w="714"/>
        <w:gridCol w:w="778"/>
      </w:tblGrid>
      <w:tr w14:paraId="42148A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3" w:type="dxa"/>
          </w:tcPr>
          <w:p w14:paraId="62361A0D">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序号</w:t>
            </w:r>
          </w:p>
        </w:tc>
        <w:tc>
          <w:tcPr>
            <w:tcW w:w="933" w:type="dxa"/>
          </w:tcPr>
          <w:p w14:paraId="48241A73">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品目名称</w:t>
            </w:r>
          </w:p>
        </w:tc>
        <w:tc>
          <w:tcPr>
            <w:tcW w:w="933" w:type="dxa"/>
          </w:tcPr>
          <w:p w14:paraId="0CD97F94">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标的名称</w:t>
            </w:r>
          </w:p>
        </w:tc>
        <w:tc>
          <w:tcPr>
            <w:tcW w:w="933" w:type="dxa"/>
          </w:tcPr>
          <w:p w14:paraId="58469817">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单位</w:t>
            </w:r>
          </w:p>
        </w:tc>
        <w:tc>
          <w:tcPr>
            <w:tcW w:w="933" w:type="dxa"/>
          </w:tcPr>
          <w:p w14:paraId="5F727896">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数量</w:t>
            </w:r>
          </w:p>
        </w:tc>
        <w:tc>
          <w:tcPr>
            <w:tcW w:w="933" w:type="dxa"/>
          </w:tcPr>
          <w:p w14:paraId="124D5C19">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分项预算单价（元）</w:t>
            </w:r>
          </w:p>
        </w:tc>
        <w:tc>
          <w:tcPr>
            <w:tcW w:w="933" w:type="dxa"/>
          </w:tcPr>
          <w:p w14:paraId="23202408">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分项预算总价（元）</w:t>
            </w:r>
          </w:p>
        </w:tc>
        <w:tc>
          <w:tcPr>
            <w:tcW w:w="840" w:type="dxa"/>
          </w:tcPr>
          <w:p w14:paraId="42699E66">
            <w:pPr>
              <w:rPr>
                <w:rFonts w:hint="eastAsia" w:ascii="宋体" w:hAnsi="宋体" w:eastAsia="宋体" w:cs="宋体"/>
                <w:sz w:val="22"/>
                <w:szCs w:val="22"/>
                <w:highlight w:val="none"/>
              </w:rPr>
            </w:pPr>
            <w:r>
              <w:rPr>
                <w:rFonts w:hint="eastAsia" w:ascii="宋体" w:hAnsi="宋体" w:eastAsia="宋体" w:cs="宋体"/>
                <w:sz w:val="22"/>
                <w:szCs w:val="22"/>
                <w:highlight w:val="none"/>
              </w:rPr>
              <w:t>所属行业</w:t>
            </w:r>
          </w:p>
        </w:tc>
        <w:tc>
          <w:tcPr>
            <w:tcW w:w="933" w:type="dxa"/>
          </w:tcPr>
          <w:p w14:paraId="00083045">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技术要求</w:t>
            </w:r>
          </w:p>
        </w:tc>
      </w:tr>
      <w:tr w14:paraId="2F750C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3" w:type="dxa"/>
          </w:tcPr>
          <w:p w14:paraId="4B24E985">
            <w:pPr>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933" w:type="dxa"/>
          </w:tcPr>
          <w:p w14:paraId="55BB2C51">
            <w:pPr>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其他社会服务</w:t>
            </w:r>
          </w:p>
        </w:tc>
        <w:tc>
          <w:tcPr>
            <w:tcW w:w="933" w:type="dxa"/>
          </w:tcPr>
          <w:p w14:paraId="5A8588B0">
            <w:pPr>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18个村社区居家养老服务</w:t>
            </w:r>
          </w:p>
        </w:tc>
        <w:tc>
          <w:tcPr>
            <w:tcW w:w="933" w:type="dxa"/>
          </w:tcPr>
          <w:p w14:paraId="40CFCFCD">
            <w:pPr>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项</w:t>
            </w:r>
          </w:p>
        </w:tc>
        <w:tc>
          <w:tcPr>
            <w:tcW w:w="933" w:type="dxa"/>
          </w:tcPr>
          <w:p w14:paraId="1EC1B3B5">
            <w:pPr>
              <w:jc w:val="right"/>
              <w:rPr>
                <w:rFonts w:hint="eastAsia" w:ascii="宋体" w:hAnsi="宋体" w:eastAsia="宋体" w:cs="宋体"/>
                <w:sz w:val="22"/>
                <w:szCs w:val="22"/>
                <w:highlight w:val="none"/>
              </w:rPr>
            </w:pPr>
            <w:r>
              <w:rPr>
                <w:rFonts w:hint="eastAsia" w:ascii="宋体" w:hAnsi="宋体" w:eastAsia="宋体" w:cs="宋体"/>
                <w:sz w:val="22"/>
                <w:szCs w:val="22"/>
                <w:highlight w:val="none"/>
              </w:rPr>
              <w:t>1.00</w:t>
            </w:r>
          </w:p>
        </w:tc>
        <w:tc>
          <w:tcPr>
            <w:tcW w:w="933" w:type="dxa"/>
          </w:tcPr>
          <w:p w14:paraId="08866BCE">
            <w:pPr>
              <w:jc w:val="right"/>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3,900,000.00</w:t>
            </w:r>
          </w:p>
        </w:tc>
        <w:tc>
          <w:tcPr>
            <w:tcW w:w="933" w:type="dxa"/>
          </w:tcPr>
          <w:p w14:paraId="6641AAC6">
            <w:pPr>
              <w:jc w:val="right"/>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3,900,000.00</w:t>
            </w:r>
          </w:p>
        </w:tc>
        <w:tc>
          <w:tcPr>
            <w:tcW w:w="840" w:type="dxa"/>
          </w:tcPr>
          <w:p w14:paraId="6B676A64">
            <w:pPr>
              <w:rPr>
                <w:rFonts w:hint="eastAsia" w:ascii="宋体" w:hAnsi="宋体" w:eastAsia="宋体" w:cs="宋体"/>
                <w:sz w:val="22"/>
                <w:szCs w:val="22"/>
                <w:highlight w:val="none"/>
              </w:rPr>
            </w:pPr>
            <w:r>
              <w:rPr>
                <w:rFonts w:hint="eastAsia" w:ascii="宋体" w:hAnsi="宋体" w:eastAsia="宋体" w:cs="宋体"/>
                <w:sz w:val="22"/>
                <w:szCs w:val="22"/>
                <w:highlight w:val="none"/>
              </w:rPr>
              <w:t>其他未列明行业</w:t>
            </w:r>
          </w:p>
        </w:tc>
        <w:tc>
          <w:tcPr>
            <w:tcW w:w="933" w:type="dxa"/>
          </w:tcPr>
          <w:p w14:paraId="52CB03E3">
            <w:pPr>
              <w:rPr>
                <w:rFonts w:hint="eastAsia" w:ascii="宋体" w:hAnsi="宋体" w:eastAsia="宋体" w:cs="宋体"/>
                <w:sz w:val="22"/>
                <w:szCs w:val="22"/>
                <w:highlight w:val="none"/>
              </w:rPr>
            </w:pPr>
            <w:r>
              <w:rPr>
                <w:rFonts w:hint="eastAsia" w:ascii="宋体" w:hAnsi="宋体" w:eastAsia="宋体" w:cs="宋体"/>
                <w:sz w:val="22"/>
                <w:szCs w:val="22"/>
                <w:highlight w:val="none"/>
              </w:rPr>
              <w:t>详见附表一</w:t>
            </w:r>
          </w:p>
        </w:tc>
      </w:tr>
    </w:tbl>
    <w:p w14:paraId="46F23C0F">
      <w:pPr>
        <w:rPr>
          <w:rFonts w:hint="eastAsia" w:ascii="宋体" w:hAnsi="宋体" w:eastAsia="宋体" w:cs="宋体"/>
          <w:sz w:val="22"/>
          <w:szCs w:val="22"/>
          <w:highlight w:val="none"/>
        </w:rPr>
      </w:pPr>
    </w:p>
    <w:p w14:paraId="28A6EBDF">
      <w:pPr>
        <w:rPr>
          <w:rFonts w:hint="eastAsia" w:ascii="宋体" w:hAnsi="宋体" w:eastAsia="宋体" w:cs="宋体"/>
          <w:sz w:val="22"/>
          <w:szCs w:val="22"/>
          <w:highlight w:val="none"/>
        </w:rPr>
      </w:pPr>
      <w:r>
        <w:rPr>
          <w:rFonts w:hint="eastAsia" w:ascii="宋体" w:hAnsi="宋体" w:eastAsia="宋体" w:cs="宋体"/>
          <w:b/>
          <w:sz w:val="22"/>
          <w:szCs w:val="22"/>
          <w:highlight w:val="none"/>
        </w:rPr>
        <w:t>附表一：18个村社区居家养老服务</w:t>
      </w:r>
    </w:p>
    <w:tbl>
      <w:tblPr>
        <w:tblStyle w:val="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436"/>
        <w:gridCol w:w="5814"/>
      </w:tblGrid>
      <w:tr w14:paraId="44D47B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5323D23">
            <w:pPr>
              <w:rPr>
                <w:rFonts w:hint="eastAsia" w:ascii="宋体" w:hAnsi="宋体" w:eastAsia="宋体" w:cs="宋体"/>
                <w:sz w:val="22"/>
                <w:szCs w:val="22"/>
                <w:highlight w:val="none"/>
              </w:rPr>
            </w:pPr>
            <w:r>
              <w:rPr>
                <w:rFonts w:hint="eastAsia" w:ascii="宋体" w:hAnsi="宋体" w:eastAsia="宋体" w:cs="宋体"/>
                <w:sz w:val="22"/>
                <w:szCs w:val="22"/>
                <w:highlight w:val="none"/>
              </w:rPr>
              <w:t>参数性质</w:t>
            </w:r>
          </w:p>
        </w:tc>
        <w:tc>
          <w:tcPr>
            <w:tcW w:w="415" w:type="dxa"/>
          </w:tcPr>
          <w:p w14:paraId="7558D1CE">
            <w:pPr>
              <w:rPr>
                <w:rFonts w:hint="eastAsia" w:ascii="宋体" w:hAnsi="宋体" w:eastAsia="宋体" w:cs="宋体"/>
                <w:sz w:val="22"/>
                <w:szCs w:val="22"/>
                <w:highlight w:val="none"/>
              </w:rPr>
            </w:pPr>
            <w:r>
              <w:rPr>
                <w:rFonts w:hint="eastAsia" w:ascii="宋体" w:hAnsi="宋体" w:eastAsia="宋体" w:cs="宋体"/>
                <w:sz w:val="22"/>
                <w:szCs w:val="22"/>
                <w:highlight w:val="none"/>
              </w:rPr>
              <w:t>序号</w:t>
            </w:r>
          </w:p>
        </w:tc>
        <w:tc>
          <w:tcPr>
            <w:tcW w:w="5814" w:type="dxa"/>
          </w:tcPr>
          <w:p w14:paraId="7349CB21">
            <w:pPr>
              <w:rPr>
                <w:rFonts w:hint="eastAsia" w:ascii="宋体" w:hAnsi="宋体" w:eastAsia="宋体" w:cs="宋体"/>
                <w:sz w:val="22"/>
                <w:szCs w:val="22"/>
                <w:highlight w:val="none"/>
              </w:rPr>
            </w:pPr>
            <w:r>
              <w:rPr>
                <w:rFonts w:hint="eastAsia" w:ascii="宋体" w:hAnsi="宋体" w:eastAsia="宋体" w:cs="宋体"/>
                <w:sz w:val="22"/>
                <w:szCs w:val="22"/>
                <w:highlight w:val="none"/>
              </w:rPr>
              <w:t>具体技术(参数)要求</w:t>
            </w:r>
          </w:p>
        </w:tc>
      </w:tr>
      <w:tr w14:paraId="73A0B1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A8723C5">
            <w:pPr>
              <w:rPr>
                <w:rFonts w:hint="eastAsia" w:ascii="宋体" w:hAnsi="宋体" w:eastAsia="宋体" w:cs="宋体"/>
                <w:sz w:val="22"/>
                <w:szCs w:val="22"/>
                <w:highlight w:val="none"/>
              </w:rPr>
            </w:pPr>
          </w:p>
        </w:tc>
        <w:tc>
          <w:tcPr>
            <w:tcW w:w="415" w:type="dxa"/>
          </w:tcPr>
          <w:p w14:paraId="13D18CB9">
            <w:pPr>
              <w:rPr>
                <w:rFonts w:hint="eastAsia" w:ascii="宋体" w:hAnsi="宋体" w:eastAsia="宋体" w:cs="宋体"/>
                <w:sz w:val="22"/>
                <w:szCs w:val="22"/>
                <w:highlight w:val="none"/>
              </w:rPr>
            </w:pPr>
            <w:r>
              <w:rPr>
                <w:rFonts w:hint="eastAsia" w:ascii="宋体" w:hAnsi="宋体" w:eastAsia="宋体" w:cs="宋体"/>
                <w:sz w:val="22"/>
                <w:szCs w:val="22"/>
                <w:highlight w:val="none"/>
              </w:rPr>
              <w:t>1</w:t>
            </w:r>
          </w:p>
        </w:tc>
        <w:tc>
          <w:tcPr>
            <w:tcW w:w="5814" w:type="dxa"/>
          </w:tcPr>
          <w:p w14:paraId="0044AAD5">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根据《东莞市居家养老服务管理办法（修订）》（东府办〔2021〕12号）精神和《东莞市民政局  东莞市财政局关于印发&lt;东莞市居家养老服务项目补助资金结算实施细则&gt; 的通知》精神，投标人须满足以下服务需求：</w:t>
            </w:r>
          </w:p>
          <w:p w14:paraId="0F063583">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一、服务目的</w:t>
            </w:r>
          </w:p>
          <w:p w14:paraId="36681686">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适应我镇老年人口的快速增长，加快推进我镇养老服务事业的发展，加强和规范居家养老服务工作，营造尊老、敬老、助老的良好社会氛围，全面提高老年人生活质量，促进社会稳定和谐。根据《东莞市居家养老服务管理办法（修订）》（东府办〔2021〕12号）的文件精神，结合我镇养老服务实际，现向社会通过公开招标的方式选取一家第三方服务机构，为东莞市大朗镇18个村社区提供居家养老服务。</w:t>
            </w:r>
          </w:p>
          <w:p w14:paraId="34E45FCD">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二、服务群体</w:t>
            </w:r>
          </w:p>
          <w:p w14:paraId="0A8C199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具有大朗镇户籍且在东莞市行政区域内居住，且符合以下情形之一的服务对象可申请政府资助：</w:t>
            </w:r>
          </w:p>
          <w:p w14:paraId="7CE13CB8">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1、年满60周岁及以上的重度失能老年人；</w:t>
            </w:r>
          </w:p>
          <w:p w14:paraId="7FE1B62B">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2、年满70周岁及以上的中度失能老年人；</w:t>
            </w:r>
          </w:p>
          <w:p w14:paraId="420EEB6A">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3、孤寡人员、计划生育特殊家庭、部分享受定期定量抚恤生活补助优抚对象中年满60周岁及以上的失能老年人；</w:t>
            </w:r>
          </w:p>
          <w:p w14:paraId="760B0889">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4、特困供养人员、低保家庭、低收入家庭中年满60周岁及以上的老年人。</w:t>
            </w:r>
          </w:p>
          <w:p w14:paraId="0099F812">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注：若东莞市政府发布新文件规定的，对服务对象条件进行调整，则以新文件规定为准。</w:t>
            </w:r>
          </w:p>
          <w:p w14:paraId="4DE5F027">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三、资助依据</w:t>
            </w:r>
          </w:p>
          <w:p w14:paraId="2620D88F">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采购人将通过购买服务的方式，委托具有资质的第三方评估机构，依据民政部《老年人能力评估》(MZ/T   039-2013) 标准和方法进行老年人养老服务需求评估 (能力等级评估) ，评估结果作为居家养老服务资助的依据。</w:t>
            </w:r>
          </w:p>
          <w:p w14:paraId="5154F46E">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养老服务需求状况(能力等级) 发生变化的，可由本人、家属或委托人依据医疗机构出具的《养老服务需求评估意见书》，向户籍所在地园区、镇 (街道) 民政部门提出申请，经核实后组织动态评估。</w:t>
            </w:r>
          </w:p>
          <w:p w14:paraId="730B7930">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第三方评估机构的评估员应由执业(助理) 医师、执业护士、初 (中) 级社会工作师、具有两年以上护理工作经验的养老护理员组成。评估方式包括定点评估和上门评估，其中上门评估的不得少于2名评估员。</w:t>
            </w:r>
          </w:p>
          <w:p w14:paraId="5A1C5482">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四、资助要求、标准及发放形式:</w:t>
            </w:r>
          </w:p>
          <w:p w14:paraId="5FD9AC94">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属于政府资助对象的老人，可申请以下资助标准的服务。</w:t>
            </w:r>
          </w:p>
          <w:p w14:paraId="11A9AF2D">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1、经评估属于重度失能的，按照每人每月720元的标准提供居家养老服务。</w:t>
            </w:r>
          </w:p>
          <w:p w14:paraId="7FAAD15F">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2、经评估属于中度失能的，按照每人每月480元的标准提供居家养老服务。</w:t>
            </w:r>
          </w:p>
          <w:p w14:paraId="419FF710">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3、经评估属于轻度失能或能力完好的，按照每人每月360元的标准提供居家养老服务。</w:t>
            </w:r>
          </w:p>
          <w:p w14:paraId="3EF1734F">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服务资助通过养老服务卡以服务的形式发放。资助标准内的服务，当月使用，不能滚存。服务执行期间，如果资助标准有调整，按调整后的新标准执行。</w:t>
            </w:r>
          </w:p>
          <w:p w14:paraId="6589D7BC">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已享受特困供养人员护理补贴或重度残疾人护理补贴的，按照就高原则，不能重复享受上述规定的资助。</w:t>
            </w:r>
          </w:p>
          <w:p w14:paraId="0EADBCAB">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五、服务内容</w:t>
            </w:r>
          </w:p>
          <w:p w14:paraId="070F9CE8">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居家养老服务，是指以家庭为核心，以社区为依托，以专业化服务为主要形式，充分利用包括村（社区）卫生服务机构、各类养老机构以及村（社区）公共服务机构等在内的社区资源，为居住在家的老年人提供以协助解决其养老需求的社会化服务，包括生活照料、医疗保健、精神关爱、文化体育、紧急救助等一种或若干种服务的社会养老服务。居家养老服务主要包括康复护理、生活照料、卫生清洁、助餐配餐、日间托管、文化娱乐、精神慰藉等服务项目。服务机构可根据老年人服务需求拓展临终关怀、医疗保健、科技助老、金融助老等服务项目。具体服务内容如下：</w:t>
            </w:r>
          </w:p>
          <w:tbl>
            <w:tblPr>
              <w:tblStyle w:val="8"/>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37"/>
              <w:gridCol w:w="700"/>
              <w:gridCol w:w="2943"/>
              <w:gridCol w:w="1513"/>
            </w:tblGrid>
            <w:tr w14:paraId="51CD3D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single" w:color="000000" w:sz="4" w:space="0"/>
                    <w:left w:val="single" w:color="000000" w:sz="4" w:space="0"/>
                    <w:bottom w:val="single" w:color="000000" w:sz="4" w:space="0"/>
                    <w:right w:val="single" w:color="000000" w:sz="4" w:space="0"/>
                  </w:tcBorders>
                  <w:vAlign w:val="top"/>
                </w:tcPr>
                <w:p w14:paraId="29B95B97">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序号</w:t>
                  </w:r>
                </w:p>
              </w:tc>
              <w:tc>
                <w:tcPr>
                  <w:tcW w:w="701" w:type="dxa"/>
                  <w:tcBorders>
                    <w:top w:val="single" w:color="000000" w:sz="4" w:space="0"/>
                    <w:left w:val="nil"/>
                    <w:bottom w:val="single" w:color="000000" w:sz="4" w:space="0"/>
                    <w:right w:val="single" w:color="000000" w:sz="4" w:space="0"/>
                  </w:tcBorders>
                  <w:vAlign w:val="top"/>
                </w:tcPr>
                <w:p w14:paraId="1E18445F">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服务大项</w:t>
                  </w:r>
                </w:p>
              </w:tc>
              <w:tc>
                <w:tcPr>
                  <w:tcW w:w="2988" w:type="dxa"/>
                  <w:tcBorders>
                    <w:top w:val="single" w:color="000000" w:sz="4" w:space="0"/>
                    <w:left w:val="nil"/>
                    <w:bottom w:val="single" w:color="000000" w:sz="4" w:space="0"/>
                    <w:right w:val="single" w:color="000000" w:sz="4" w:space="0"/>
                  </w:tcBorders>
                  <w:vAlign w:val="top"/>
                </w:tcPr>
                <w:p w14:paraId="455DD260">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服务内容</w:t>
                  </w:r>
                </w:p>
              </w:tc>
              <w:tc>
                <w:tcPr>
                  <w:tcW w:w="1531" w:type="dxa"/>
                  <w:tcBorders>
                    <w:top w:val="single" w:color="000000" w:sz="4" w:space="0"/>
                    <w:left w:val="nil"/>
                    <w:bottom w:val="single" w:color="000000" w:sz="4" w:space="0"/>
                    <w:right w:val="single" w:color="000000" w:sz="4" w:space="0"/>
                  </w:tcBorders>
                  <w:vAlign w:val="top"/>
                </w:tcPr>
                <w:p w14:paraId="5D99273F">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服务目标</w:t>
                  </w:r>
                </w:p>
              </w:tc>
            </w:tr>
            <w:tr w14:paraId="1EF759D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16ACA2CC">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w:t>
                  </w:r>
                </w:p>
              </w:tc>
              <w:tc>
                <w:tcPr>
                  <w:tcW w:w="701" w:type="dxa"/>
                  <w:tcBorders>
                    <w:top w:val="nil"/>
                    <w:left w:val="nil"/>
                    <w:bottom w:val="single" w:color="000000" w:sz="4" w:space="0"/>
                    <w:right w:val="single" w:color="000000" w:sz="4" w:space="0"/>
                  </w:tcBorders>
                  <w:vAlign w:val="top"/>
                </w:tcPr>
                <w:p w14:paraId="2F0EFA79">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康复护理</w:t>
                  </w:r>
                </w:p>
              </w:tc>
              <w:tc>
                <w:tcPr>
                  <w:tcW w:w="2988" w:type="dxa"/>
                  <w:tcBorders>
                    <w:top w:val="nil"/>
                    <w:left w:val="nil"/>
                    <w:bottom w:val="single" w:color="000000" w:sz="4" w:space="0"/>
                    <w:right w:val="single" w:color="000000" w:sz="4" w:space="0"/>
                  </w:tcBorders>
                  <w:vAlign w:val="top"/>
                </w:tcPr>
                <w:p w14:paraId="498F115C">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服务对象提供健康咨询、康复咨询、康复指引、健康检查服务，康复辅助器具配置服务、根据服务对象的需求，有针对地提供康复理疗项目（如针灸理疗、足部护理、器械按摩、中风物理治疗、推拿按摩、拔罐刮痧等）及康复训练项目（如腰椎康复、跌伤康复、中风康复、偏瘫康复、记忆训练、感官训练、转移训练等）。</w:t>
                  </w:r>
                </w:p>
              </w:tc>
              <w:tc>
                <w:tcPr>
                  <w:tcW w:w="1531" w:type="dxa"/>
                  <w:tcBorders>
                    <w:top w:val="nil"/>
                    <w:left w:val="nil"/>
                    <w:bottom w:val="single" w:color="000000" w:sz="4" w:space="0"/>
                    <w:right w:val="single" w:color="000000" w:sz="4" w:space="0"/>
                  </w:tcBorders>
                  <w:vAlign w:val="top"/>
                </w:tcPr>
                <w:p w14:paraId="37E58462">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为重度失能的老年人提供与身体健康直接有关的预防、护理、康复方面的服务</w:t>
                  </w:r>
                </w:p>
              </w:tc>
            </w:tr>
            <w:tr w14:paraId="4AFFCC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78670131">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w:t>
                  </w:r>
                </w:p>
              </w:tc>
              <w:tc>
                <w:tcPr>
                  <w:tcW w:w="701" w:type="dxa"/>
                  <w:tcBorders>
                    <w:top w:val="nil"/>
                    <w:left w:val="nil"/>
                    <w:bottom w:val="single" w:color="000000" w:sz="4" w:space="0"/>
                    <w:right w:val="single" w:color="000000" w:sz="4" w:space="0"/>
                  </w:tcBorders>
                  <w:vAlign w:val="top"/>
                </w:tcPr>
                <w:p w14:paraId="7CFD4806">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生活照料</w:t>
                  </w:r>
                </w:p>
              </w:tc>
              <w:tc>
                <w:tcPr>
                  <w:tcW w:w="2988" w:type="dxa"/>
                  <w:tcBorders>
                    <w:top w:val="nil"/>
                    <w:left w:val="nil"/>
                    <w:bottom w:val="single" w:color="000000" w:sz="4" w:space="0"/>
                    <w:right w:val="single" w:color="000000" w:sz="4" w:space="0"/>
                  </w:tcBorders>
                  <w:vAlign w:val="top"/>
                </w:tcPr>
                <w:p w14:paraId="21D3E243">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为服务对象提供个人护理及生活照料服务，包括为服务对象洗头、理发、助浴、协助穿脱衣、洗脸、梳头等，陪同服务对象外出、代办代购等。</w:t>
                  </w:r>
                </w:p>
              </w:tc>
              <w:tc>
                <w:tcPr>
                  <w:tcW w:w="1531" w:type="dxa"/>
                  <w:tcBorders>
                    <w:top w:val="nil"/>
                    <w:left w:val="nil"/>
                    <w:bottom w:val="single" w:color="000000" w:sz="4" w:space="0"/>
                    <w:right w:val="single" w:color="000000" w:sz="4" w:space="0"/>
                  </w:tcBorders>
                  <w:vAlign w:val="top"/>
                </w:tcPr>
                <w:p w14:paraId="6CC8CDAB">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为中度失能的老年人提供与身心健康间接相关的生活照料、家务协助、生活护理等方面的服务</w:t>
                  </w:r>
                </w:p>
              </w:tc>
            </w:tr>
            <w:tr w14:paraId="5161B5E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639FAD33">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w:t>
                  </w:r>
                </w:p>
              </w:tc>
              <w:tc>
                <w:tcPr>
                  <w:tcW w:w="701" w:type="dxa"/>
                  <w:tcBorders>
                    <w:top w:val="nil"/>
                    <w:left w:val="nil"/>
                    <w:bottom w:val="single" w:color="000000" w:sz="4" w:space="0"/>
                    <w:right w:val="single" w:color="000000" w:sz="4" w:space="0"/>
                  </w:tcBorders>
                  <w:vAlign w:val="top"/>
                </w:tcPr>
                <w:p w14:paraId="615FDB99">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卫生清洁</w:t>
                  </w:r>
                </w:p>
              </w:tc>
              <w:tc>
                <w:tcPr>
                  <w:tcW w:w="2988" w:type="dxa"/>
                  <w:tcBorders>
                    <w:top w:val="nil"/>
                    <w:left w:val="nil"/>
                    <w:bottom w:val="single" w:color="000000" w:sz="4" w:space="0"/>
                    <w:right w:val="single" w:color="000000" w:sz="4" w:space="0"/>
                  </w:tcBorders>
                  <w:vAlign w:val="top"/>
                </w:tcPr>
                <w:p w14:paraId="01FEC1DC">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为服务对象提供对客厅、卧室、厕所等居家环境进行清扫、清洁；清洗与晾晒衣物、毛巾等。</w:t>
                  </w:r>
                </w:p>
              </w:tc>
              <w:tc>
                <w:tcPr>
                  <w:tcW w:w="1531" w:type="dxa"/>
                  <w:tcBorders>
                    <w:top w:val="nil"/>
                    <w:left w:val="nil"/>
                    <w:bottom w:val="single" w:color="000000" w:sz="4" w:space="0"/>
                    <w:right w:val="single" w:color="000000" w:sz="4" w:space="0"/>
                  </w:tcBorders>
                  <w:vAlign w:val="top"/>
                </w:tcPr>
                <w:p w14:paraId="48A97B5F">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为老年人生活居所、生活用品开展清洁和保洁的服务</w:t>
                  </w:r>
                </w:p>
              </w:tc>
            </w:tr>
            <w:tr w14:paraId="775483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61B8A406">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w:t>
                  </w:r>
                </w:p>
              </w:tc>
              <w:tc>
                <w:tcPr>
                  <w:tcW w:w="701" w:type="dxa"/>
                  <w:tcBorders>
                    <w:top w:val="nil"/>
                    <w:left w:val="nil"/>
                    <w:bottom w:val="single" w:color="000000" w:sz="4" w:space="0"/>
                    <w:right w:val="single" w:color="000000" w:sz="4" w:space="0"/>
                  </w:tcBorders>
                  <w:vAlign w:val="top"/>
                </w:tcPr>
                <w:p w14:paraId="55872181">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助餐配餐</w:t>
                  </w:r>
                </w:p>
              </w:tc>
              <w:tc>
                <w:tcPr>
                  <w:tcW w:w="2988" w:type="dxa"/>
                  <w:tcBorders>
                    <w:top w:val="nil"/>
                    <w:left w:val="nil"/>
                    <w:bottom w:val="single" w:color="000000" w:sz="4" w:space="0"/>
                    <w:right w:val="single" w:color="000000" w:sz="4" w:space="0"/>
                  </w:tcBorders>
                  <w:vAlign w:val="top"/>
                </w:tcPr>
                <w:p w14:paraId="38983D5C">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为服务对象送餐或上门做餐（包括代买食材、清洗烹饪、协助进食、餐后清洁等），向服务对象介绍“大配餐”政策，协助有需要的服务对象申请有关服务。</w:t>
                  </w:r>
                </w:p>
              </w:tc>
              <w:tc>
                <w:tcPr>
                  <w:tcW w:w="1531" w:type="dxa"/>
                  <w:tcBorders>
                    <w:top w:val="nil"/>
                    <w:left w:val="nil"/>
                    <w:bottom w:val="single" w:color="000000" w:sz="4" w:space="0"/>
                    <w:right w:val="single" w:color="000000" w:sz="4" w:space="0"/>
                  </w:tcBorders>
                  <w:vAlign w:val="top"/>
                </w:tcPr>
                <w:p w14:paraId="5A0B43CA">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为老年人提供助餐及配餐服务</w:t>
                  </w:r>
                </w:p>
              </w:tc>
            </w:tr>
            <w:tr w14:paraId="5C04ED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63F0FED6">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w:t>
                  </w:r>
                </w:p>
              </w:tc>
              <w:tc>
                <w:tcPr>
                  <w:tcW w:w="701" w:type="dxa"/>
                  <w:tcBorders>
                    <w:top w:val="nil"/>
                    <w:left w:val="nil"/>
                    <w:bottom w:val="single" w:color="000000" w:sz="4" w:space="0"/>
                    <w:right w:val="single" w:color="000000" w:sz="4" w:space="0"/>
                  </w:tcBorders>
                  <w:vAlign w:val="top"/>
                </w:tcPr>
                <w:p w14:paraId="7B116675">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日间托管</w:t>
                  </w:r>
                </w:p>
              </w:tc>
              <w:tc>
                <w:tcPr>
                  <w:tcW w:w="2988" w:type="dxa"/>
                  <w:tcBorders>
                    <w:top w:val="nil"/>
                    <w:left w:val="nil"/>
                    <w:bottom w:val="single" w:color="000000" w:sz="4" w:space="0"/>
                    <w:right w:val="single" w:color="000000" w:sz="4" w:space="0"/>
                  </w:tcBorders>
                  <w:vAlign w:val="top"/>
                </w:tcPr>
                <w:p w14:paraId="46FED5D9">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为有需要的服务对象提供日间托管照顾服务，为到场的老人提供文化娱乐、精神关怀、用餐助餐、康复训练等基本养老服务。</w:t>
                  </w:r>
                </w:p>
              </w:tc>
              <w:tc>
                <w:tcPr>
                  <w:tcW w:w="1531" w:type="dxa"/>
                  <w:tcBorders>
                    <w:top w:val="nil"/>
                    <w:left w:val="nil"/>
                    <w:bottom w:val="single" w:color="000000" w:sz="4" w:space="0"/>
                    <w:right w:val="single" w:color="000000" w:sz="4" w:space="0"/>
                  </w:tcBorders>
                  <w:vAlign w:val="top"/>
                </w:tcPr>
                <w:p w14:paraId="49F3FC4E">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根据服务对象实际需求提供服务。</w:t>
                  </w:r>
                </w:p>
              </w:tc>
            </w:tr>
            <w:tr w14:paraId="57001D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12BF90DE">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6</w:t>
                  </w:r>
                </w:p>
              </w:tc>
              <w:tc>
                <w:tcPr>
                  <w:tcW w:w="701" w:type="dxa"/>
                  <w:tcBorders>
                    <w:top w:val="nil"/>
                    <w:left w:val="nil"/>
                    <w:bottom w:val="single" w:color="000000" w:sz="4" w:space="0"/>
                    <w:right w:val="single" w:color="000000" w:sz="4" w:space="0"/>
                  </w:tcBorders>
                  <w:vAlign w:val="top"/>
                </w:tcPr>
                <w:p w14:paraId="2E8710FC">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文化娱乐</w:t>
                  </w:r>
                </w:p>
              </w:tc>
              <w:tc>
                <w:tcPr>
                  <w:tcW w:w="2988" w:type="dxa"/>
                  <w:tcBorders>
                    <w:top w:val="nil"/>
                    <w:left w:val="nil"/>
                    <w:bottom w:val="single" w:color="000000" w:sz="4" w:space="0"/>
                    <w:right w:val="single" w:color="000000" w:sz="4" w:space="0"/>
                  </w:tcBorders>
                  <w:vAlign w:val="top"/>
                </w:tcPr>
                <w:p w14:paraId="4EFCB6C4">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社工、志愿者以及护工联合，为服务对象提供节日庆典、文体类活动等，构建社会支持网络，开展健康讲座、老年兴趣班、志愿者队伍培育建设等活动项目。</w:t>
                  </w:r>
                </w:p>
              </w:tc>
              <w:tc>
                <w:tcPr>
                  <w:tcW w:w="1531" w:type="dxa"/>
                  <w:tcBorders>
                    <w:top w:val="nil"/>
                    <w:left w:val="nil"/>
                    <w:bottom w:val="single" w:color="000000" w:sz="4" w:space="0"/>
                    <w:right w:val="single" w:color="000000" w:sz="4" w:space="0"/>
                  </w:tcBorders>
                  <w:vAlign w:val="top"/>
                </w:tcPr>
                <w:p w14:paraId="0D42C8B9">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整合可能的社会资源为老年人提供多样化的服务。</w:t>
                  </w:r>
                </w:p>
              </w:tc>
            </w:tr>
            <w:tr w14:paraId="5BC335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31CC217B">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w:t>
                  </w:r>
                </w:p>
              </w:tc>
              <w:tc>
                <w:tcPr>
                  <w:tcW w:w="701" w:type="dxa"/>
                  <w:tcBorders>
                    <w:top w:val="nil"/>
                    <w:left w:val="nil"/>
                    <w:bottom w:val="single" w:color="000000" w:sz="4" w:space="0"/>
                    <w:right w:val="single" w:color="000000" w:sz="4" w:space="0"/>
                  </w:tcBorders>
                  <w:vAlign w:val="top"/>
                </w:tcPr>
                <w:p w14:paraId="090AA49E">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精神慰藉</w:t>
                  </w:r>
                </w:p>
              </w:tc>
              <w:tc>
                <w:tcPr>
                  <w:tcW w:w="2988" w:type="dxa"/>
                  <w:tcBorders>
                    <w:top w:val="nil"/>
                    <w:left w:val="nil"/>
                    <w:bottom w:val="single" w:color="000000" w:sz="4" w:space="0"/>
                    <w:right w:val="single" w:color="000000" w:sz="4" w:space="0"/>
                  </w:tcBorders>
                  <w:vAlign w:val="top"/>
                </w:tcPr>
                <w:p w14:paraId="63D0EEE1">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为服务对象提供心理上的安慰、支持等关怀服务；以及由社工开展的紧急介入、个案辅导、探访等。</w:t>
                  </w:r>
                </w:p>
              </w:tc>
              <w:tc>
                <w:tcPr>
                  <w:tcW w:w="1531" w:type="dxa"/>
                  <w:tcBorders>
                    <w:top w:val="nil"/>
                    <w:left w:val="nil"/>
                    <w:bottom w:val="single" w:color="000000" w:sz="4" w:space="0"/>
                    <w:right w:val="single" w:color="000000" w:sz="4" w:space="0"/>
                  </w:tcBorders>
                  <w:vAlign w:val="top"/>
                </w:tcPr>
                <w:p w14:paraId="02B65BD2">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根据服务对象实际需求开展定期探访、心理咨询、情绪辅导、家庭关系协调、危机介入等服务。</w:t>
                  </w:r>
                </w:p>
              </w:tc>
            </w:tr>
            <w:tr w14:paraId="567D68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5F2D515A">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8</w:t>
                  </w:r>
                </w:p>
              </w:tc>
              <w:tc>
                <w:tcPr>
                  <w:tcW w:w="701" w:type="dxa"/>
                  <w:tcBorders>
                    <w:top w:val="nil"/>
                    <w:left w:val="nil"/>
                    <w:bottom w:val="single" w:color="000000" w:sz="4" w:space="0"/>
                    <w:right w:val="single" w:color="000000" w:sz="4" w:space="0"/>
                  </w:tcBorders>
                  <w:vAlign w:val="top"/>
                </w:tcPr>
                <w:p w14:paraId="1225F53B">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“平安铃”</w:t>
                  </w:r>
                </w:p>
                <w:p w14:paraId="23A51967">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服务</w:t>
                  </w:r>
                </w:p>
              </w:tc>
              <w:tc>
                <w:tcPr>
                  <w:tcW w:w="2988" w:type="dxa"/>
                  <w:tcBorders>
                    <w:top w:val="nil"/>
                    <w:left w:val="nil"/>
                    <w:bottom w:val="single" w:color="000000" w:sz="4" w:space="0"/>
                    <w:right w:val="single" w:color="000000" w:sz="4" w:space="0"/>
                  </w:tcBorders>
                  <w:vAlign w:val="top"/>
                </w:tcPr>
                <w:p w14:paraId="0365E256">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教服务对象使用“平安铃”，将使用过程中遇到的问题及时反馈至“平安铃”公司。</w:t>
                  </w:r>
                </w:p>
              </w:tc>
              <w:tc>
                <w:tcPr>
                  <w:tcW w:w="1531" w:type="dxa"/>
                  <w:tcBorders>
                    <w:top w:val="nil"/>
                    <w:left w:val="nil"/>
                    <w:bottom w:val="single" w:color="000000" w:sz="4" w:space="0"/>
                    <w:right w:val="single" w:color="000000" w:sz="4" w:space="0"/>
                  </w:tcBorders>
                  <w:vAlign w:val="top"/>
                </w:tcPr>
                <w:p w14:paraId="367F6C66">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“平安铃”由平安铃公司负责提供及运营，项目工作人员需要协助老人使用和及时反馈有关问题。</w:t>
                  </w:r>
                </w:p>
              </w:tc>
            </w:tr>
            <w:tr w14:paraId="2543EF2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05E6A383">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9</w:t>
                  </w:r>
                </w:p>
              </w:tc>
              <w:tc>
                <w:tcPr>
                  <w:tcW w:w="701" w:type="dxa"/>
                  <w:tcBorders>
                    <w:top w:val="nil"/>
                    <w:left w:val="nil"/>
                    <w:bottom w:val="single" w:color="000000" w:sz="4" w:space="0"/>
                    <w:right w:val="single" w:color="000000" w:sz="4" w:space="0"/>
                  </w:tcBorders>
                  <w:vAlign w:val="top"/>
                </w:tcPr>
                <w:p w14:paraId="74DCDF85">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居家安全与紧急救助服务</w:t>
                  </w:r>
                </w:p>
              </w:tc>
              <w:tc>
                <w:tcPr>
                  <w:tcW w:w="2988" w:type="dxa"/>
                  <w:tcBorders>
                    <w:top w:val="nil"/>
                    <w:left w:val="nil"/>
                    <w:bottom w:val="single" w:color="000000" w:sz="4" w:space="0"/>
                    <w:right w:val="single" w:color="000000" w:sz="4" w:space="0"/>
                  </w:tcBorders>
                  <w:vAlign w:val="top"/>
                </w:tcPr>
                <w:p w14:paraId="26581F3C">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包括防摔保护、应急救护服务，用电、防火安全指导服务，食品安全指导服务，每半年开展一次家庭用水用电用火安全隐患排查，并跟进隐患整改，防诈骗宣传教育，协助提供法律援助等。</w:t>
                  </w:r>
                </w:p>
              </w:tc>
              <w:tc>
                <w:tcPr>
                  <w:tcW w:w="1531" w:type="dxa"/>
                  <w:tcBorders>
                    <w:top w:val="nil"/>
                    <w:left w:val="nil"/>
                    <w:bottom w:val="single" w:color="000000" w:sz="4" w:space="0"/>
                    <w:right w:val="single" w:color="000000" w:sz="4" w:space="0"/>
                  </w:tcBorders>
                  <w:vAlign w:val="top"/>
                </w:tcPr>
                <w:p w14:paraId="60AA01FA">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整合和链接社会各方面资源为老年人创造安全、舒适的生活环境，进行居家环境改善或改造。</w:t>
                  </w:r>
                </w:p>
              </w:tc>
            </w:tr>
            <w:tr w14:paraId="76A34A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77" w:type="dxa"/>
                  <w:tcBorders>
                    <w:top w:val="nil"/>
                    <w:left w:val="single" w:color="000000" w:sz="4" w:space="0"/>
                    <w:bottom w:val="single" w:color="000000" w:sz="4" w:space="0"/>
                    <w:right w:val="single" w:color="000000" w:sz="4" w:space="0"/>
                  </w:tcBorders>
                  <w:vAlign w:val="top"/>
                </w:tcPr>
                <w:p w14:paraId="50F4FB2E">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10</w:t>
                  </w:r>
                </w:p>
              </w:tc>
              <w:tc>
                <w:tcPr>
                  <w:tcW w:w="701" w:type="dxa"/>
                  <w:tcBorders>
                    <w:top w:val="nil"/>
                    <w:left w:val="nil"/>
                    <w:bottom w:val="single" w:color="000000" w:sz="4" w:space="0"/>
                    <w:right w:val="single" w:color="000000" w:sz="4" w:space="0"/>
                  </w:tcBorders>
                  <w:vAlign w:val="top"/>
                </w:tcPr>
                <w:p w14:paraId="09B43234">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拓展服务</w:t>
                  </w:r>
                </w:p>
              </w:tc>
              <w:tc>
                <w:tcPr>
                  <w:tcW w:w="2988" w:type="dxa"/>
                  <w:tcBorders>
                    <w:top w:val="nil"/>
                    <w:left w:val="nil"/>
                    <w:bottom w:val="single" w:color="000000" w:sz="4" w:space="0"/>
                    <w:right w:val="single" w:color="000000" w:sz="4" w:space="0"/>
                  </w:tcBorders>
                  <w:vAlign w:val="top"/>
                </w:tcPr>
                <w:p w14:paraId="1B04F77F">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拓展临终关怀、医疗保健、科技助老、金融助老等服务项目。</w:t>
                  </w:r>
                </w:p>
              </w:tc>
              <w:tc>
                <w:tcPr>
                  <w:tcW w:w="1531" w:type="dxa"/>
                  <w:tcBorders>
                    <w:top w:val="nil"/>
                    <w:left w:val="nil"/>
                    <w:bottom w:val="single" w:color="000000" w:sz="4" w:space="0"/>
                    <w:right w:val="single" w:color="000000" w:sz="4" w:space="0"/>
                  </w:tcBorders>
                  <w:vAlign w:val="top"/>
                </w:tcPr>
                <w:p w14:paraId="309E225B">
                  <w:pPr>
                    <w:jc w:val="left"/>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根据服务对象实际需求来开展。</w:t>
                  </w:r>
                </w:p>
              </w:tc>
            </w:tr>
          </w:tbl>
          <w:p w14:paraId="458F6B0B">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注：服务项目可参考“居家养老服务标准指引”执行（居家养老服务收费标准实行市场调节价），最终的服务内容以采购人与</w:t>
            </w:r>
            <w:r>
              <w:rPr>
                <w:rFonts w:hint="eastAsia" w:ascii="宋体" w:hAnsi="宋体" w:eastAsia="宋体" w:cs="宋体"/>
                <w:b/>
                <w:color w:val="000000"/>
                <w:sz w:val="22"/>
                <w:szCs w:val="22"/>
                <w:highlight w:val="none"/>
                <w:lang w:eastAsia="zh-CN"/>
              </w:rPr>
              <w:t>中标供应商</w:t>
            </w:r>
            <w:r>
              <w:rPr>
                <w:rFonts w:hint="eastAsia" w:ascii="宋体" w:hAnsi="宋体" w:eastAsia="宋体" w:cs="宋体"/>
                <w:b/>
                <w:color w:val="000000"/>
                <w:sz w:val="22"/>
                <w:szCs w:val="22"/>
                <w:highlight w:val="none"/>
              </w:rPr>
              <w:t>签订合同约定的内容为准。</w:t>
            </w:r>
          </w:p>
          <w:p w14:paraId="1DD61EC2">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六、服务人员数量及要求</w:t>
            </w:r>
          </w:p>
          <w:p w14:paraId="40C89AA3">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（一）团队人员要求：</w:t>
            </w:r>
          </w:p>
          <w:p w14:paraId="4D8779E6">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拥有专业的居家养老服务管理和服务团队，项目负责人必须具备3年以上的养老服务或医疗、健康服务从业经历和经验。结合大朗镇居家养老服务对象实际情况，拟配备1名负责人，负责项目运作的专业指导、行政及情感支持；护理人员负责老人的家庭清洁、日常照料服务；配备6名或以上社工及医学相关技术人员（其中至少安排社工3名，专职或兼职的康复师、营养师、护理师各1名）,为老人提供个案管理、情绪辅导、精神慰藉、临终关怀和康复服务等专业服务，引领社工助理、护理人员和义工参与居家养老服务；医学相关技术人员开展营养咨询和教育，膳食调查和评价等服务，协助做好对病人及其家属的咨询、辅导、接诊以及健康教育指导等服务，对肢体残疾的老人提供居家康复服务。配备3名社工助理对护理人员进行考核监督，回访老人，调查服务对象满意度，协助社工开展专业服务。</w:t>
            </w:r>
          </w:p>
          <w:p w14:paraId="3B680CDD">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★（二）护理人员按照以下的比例进行配备：</w:t>
            </w:r>
          </w:p>
          <w:p w14:paraId="60F3B0D5">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按照1名护理人员服务10名服务对象的比例配置护理人员，配置比例不低于1：10。</w:t>
            </w:r>
          </w:p>
          <w:p w14:paraId="78388BB1">
            <w:pPr>
              <w:ind w:firstLine="440"/>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护理人员优先选聘具有大朗镇户籍的失业人员和农村富余劳动力人员，尤其是“4050”人员 (处于劳动年龄段40岁以上的女性和50岁以上的男性) 。由服务机构负责对护理人员进行专业培训，经考核及格后实行合同制管理，持证上岗，月工资由服务机构根据相关文件规定标准而定，不得低于全市最低工资标准，并为其购买社保及人身意外保险。</w:t>
            </w:r>
          </w:p>
          <w:p w14:paraId="3DBEC5A0">
            <w:pPr>
              <w:pStyle w:val="2"/>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中标供应商应保证服务团队人员具备相应服务能力，确保服务平稳过渡，且人员上岗前必须提供健康证、年度体检报告等证明其工作能力，不得随意更换服务人员，如需更换，必须征得采购人书面同意。</w:t>
            </w:r>
          </w:p>
          <w:p w14:paraId="789FDB2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（三）服务机构需为本项目配置专业督导(可由社工、康复师、营养师或护理师兼任) 。</w:t>
            </w:r>
          </w:p>
          <w:p w14:paraId="7CFF93B3">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大朗镇10个村社区预计服务对象人数约555人(以实际发生数为准) ，需配备1名项目负责人，6名或以上社工及医学相关技术人员(其中至少安排社工3名，专职或兼职的康复师、营养师、护理师各1名) ，3名社工助理。个体老人的具体服务标准以第三方评估机构作出的能力等级评估结果来进行分类。购买人员配置可根据每月服务对象数量变动，由采购人与</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双方协商进行适当调整，</w:t>
            </w:r>
            <w:r>
              <w:rPr>
                <w:rFonts w:hint="eastAsia" w:ascii="宋体" w:hAnsi="宋体" w:eastAsia="宋体" w:cs="宋体"/>
                <w:b/>
                <w:color w:val="000000"/>
                <w:sz w:val="22"/>
                <w:szCs w:val="22"/>
                <w:highlight w:val="none"/>
              </w:rPr>
              <w:t>具体调整计算方法为：除护理人员外，其他服务人员配置数=实际老人服务人数 ÷合同预计老人数 ×合同要求配备的人员数，结果四舍五入。</w:t>
            </w:r>
          </w:p>
          <w:p w14:paraId="12356EA8">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七、相关费用</w:t>
            </w:r>
          </w:p>
          <w:p w14:paraId="78B50EE8">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★投标人须承诺：采购人可根据购买人员在岗率、社工配备比例情况、护理人员配备比例情况、工作量完成率、服务满意度等方面对</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承接本项目的运营情况进行考核，考核结果可作为服务机构整改内容和处罚的重要依据 (须提供单独承诺函，格式自拟）。</w:t>
            </w:r>
          </w:p>
          <w:p w14:paraId="30F3A783">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八、服务协议的解除</w:t>
            </w:r>
          </w:p>
          <w:p w14:paraId="7CD5F3E1">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(一) 服务过程中如发现以下情况之一的，由服务机构向镇 (街道) 民政部门提出处理意见，并经同意后可以终止服务协议或提供转介服务：</w:t>
            </w:r>
          </w:p>
          <w:p w14:paraId="07D47443">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1、服务对象患有严重的传染性疾病的。</w:t>
            </w:r>
          </w:p>
          <w:p w14:paraId="32AC3641">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2、服务对象患有精神疾病且病情不稳定的。</w:t>
            </w:r>
          </w:p>
          <w:p w14:paraId="00F99908">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3、服务对象违反服务约定的。</w:t>
            </w:r>
          </w:p>
          <w:p w14:paraId="51F9C4F6">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4、由于客观原因导致双方不能履行协议的。</w:t>
            </w:r>
          </w:p>
          <w:p w14:paraId="7447B42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5、双方协商同意终止协议的。</w:t>
            </w:r>
          </w:p>
          <w:p w14:paraId="0BA7AE67">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符合第1、2项情形的，由服务机构通知服务对象委托人或近亲属送院治疗；无委托人或近亲属的，由服务机构通知服务对象所在村 (社区) 送院治疗。</w:t>
            </w:r>
          </w:p>
          <w:p w14:paraId="55FAB551">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九、服务质量评价</w:t>
            </w:r>
          </w:p>
          <w:p w14:paraId="5DCB25D0">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1、评价主体：享受服务的老年人，无法表达评价意愿的，可由家属代评。</w:t>
            </w:r>
          </w:p>
          <w:p w14:paraId="68B786D3">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2、评价监管平台：东莞市智慧养老服务平台 (以下简称“平台”)</w:t>
            </w:r>
          </w:p>
          <w:p w14:paraId="761965A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3、服务人员的基础分值为100分，服务评分每月初始化，不予累计。</w:t>
            </w:r>
          </w:p>
          <w:p w14:paraId="4C7915C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4、评价方式：现场评价和平安铃回访评价两种方式，各占评分的50%。</w:t>
            </w:r>
          </w:p>
          <w:p w14:paraId="6B0A7A21">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①现场评价：在完成服务后2个小时内，由服务对象通过服务人员的手机端应用对服务单进行满意度评价。现场评价必须遵循老年人的意愿，严禁服务人员自行评价、弄虚作假。</w:t>
            </w:r>
          </w:p>
          <w:p w14:paraId="134FA059">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②平安铃电话回访：居家养老服务对象均会配备“平安铃设备”。服务结束后，平台将会随机抽样50%的服务单，由“平安铃”呼叫中心在一周内通过电话回访完成评价工作。如因特殊情况无法回访的(包括电话无信号、老人自身原因不开机或无法使用、平安铃派机不及时等) ，按不加减分处理。</w:t>
            </w:r>
          </w:p>
          <w:p w14:paraId="4788D96A">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评价意见分为“满意”、“一般”、“不满意”。评价为“满意”的每张服务单得0.1分；评价为“一般”的，不增减分；评价为“不满意”的，每单扣3分(由于服务人员没有做好“平安铃”日常检查工作，导致因设备关机而一周内回访失败的，每张服务单扣1分)。</w:t>
            </w:r>
          </w:p>
          <w:p w14:paraId="771E63C6">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6、所有现场评价为“一般”或“不满意”的服务单将被纳入“平安铃”电话回访的抽样范围；未被抽中进行电话回访的服务单，其回访评价将默认为“满意”。</w:t>
            </w:r>
          </w:p>
          <w:p w14:paraId="2BCC3C6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7、单张服务单得分=现场评价得分×50%+回访评价得分×50%</w:t>
            </w:r>
          </w:p>
          <w:p w14:paraId="7DC0D1ED">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服务人员月度服务得分=基础服务得分+月度服务单得分累计值。</w:t>
            </w:r>
          </w:p>
          <w:p w14:paraId="3F883665">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8、对扣分项目进行“三级复核”，若属于服务人员责任的，核实后将予以扣分，若属于服务对象误会或恶意差评的，核实后将不予加减分。相关核查方法按《东莞市民政局 东莞市财政局关于印发&lt;东莞市居家养老服务项目补助资金结算实施细则&gt; 的通知》执行。</w:t>
            </w:r>
          </w:p>
          <w:p w14:paraId="0FA84513">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十、结算方式</w:t>
            </w:r>
          </w:p>
          <w:p w14:paraId="3E9449D1">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（一）东莞市智慧养老服务平台根据服务评分对服务人员每月的服务单进行资金结算，具体结算标准如下：</w:t>
            </w:r>
          </w:p>
          <w:tbl>
            <w:tblPr>
              <w:tblStyle w:val="8"/>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797"/>
              <w:gridCol w:w="2796"/>
            </w:tblGrid>
            <w:tr w14:paraId="2D0878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single" w:color="000000" w:sz="4" w:space="0"/>
                    <w:left w:val="single" w:color="000000" w:sz="4" w:space="0"/>
                    <w:bottom w:val="single" w:color="000000" w:sz="4" w:space="0"/>
                    <w:right w:val="single" w:color="000000" w:sz="4" w:space="0"/>
                  </w:tcBorders>
                  <w:vAlign w:val="top"/>
                </w:tcPr>
                <w:p w14:paraId="7F9BCFF9">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服务评分</w:t>
                  </w:r>
                </w:p>
              </w:tc>
              <w:tc>
                <w:tcPr>
                  <w:tcW w:w="2799" w:type="dxa"/>
                  <w:tcBorders>
                    <w:top w:val="single" w:color="000000" w:sz="4" w:space="0"/>
                    <w:left w:val="single" w:color="000000" w:sz="4" w:space="0"/>
                    <w:bottom w:val="single" w:color="000000" w:sz="4" w:space="0"/>
                    <w:right w:val="single" w:color="000000" w:sz="4" w:space="0"/>
                  </w:tcBorders>
                  <w:vAlign w:val="top"/>
                </w:tcPr>
                <w:p w14:paraId="34DED59C">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结算标准</w:t>
                  </w:r>
                </w:p>
              </w:tc>
            </w:tr>
            <w:tr w14:paraId="21A776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vAlign w:val="top"/>
                </w:tcPr>
                <w:p w14:paraId="482B51CF">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90分（含）以上</w:t>
                  </w:r>
                </w:p>
              </w:tc>
              <w:tc>
                <w:tcPr>
                  <w:tcW w:w="2799" w:type="dxa"/>
                  <w:tcBorders>
                    <w:top w:val="nil"/>
                    <w:left w:val="single" w:color="000000" w:sz="4" w:space="0"/>
                    <w:bottom w:val="single" w:color="000000" w:sz="4" w:space="0"/>
                    <w:right w:val="single" w:color="000000" w:sz="4" w:space="0"/>
                  </w:tcBorders>
                  <w:vAlign w:val="top"/>
                </w:tcPr>
                <w:p w14:paraId="3882BACE">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100%比例拨付资金</w:t>
                  </w:r>
                </w:p>
              </w:tc>
            </w:tr>
            <w:tr w14:paraId="566E039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vAlign w:val="top"/>
                </w:tcPr>
                <w:p w14:paraId="539D7369">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80分-89分</w:t>
                  </w:r>
                </w:p>
              </w:tc>
              <w:tc>
                <w:tcPr>
                  <w:tcW w:w="2799" w:type="dxa"/>
                  <w:tcBorders>
                    <w:top w:val="nil"/>
                    <w:left w:val="single" w:color="000000" w:sz="4" w:space="0"/>
                    <w:bottom w:val="single" w:color="000000" w:sz="4" w:space="0"/>
                    <w:right w:val="single" w:color="000000" w:sz="4" w:space="0"/>
                  </w:tcBorders>
                  <w:vAlign w:val="top"/>
                </w:tcPr>
                <w:p w14:paraId="45C43C99">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扣减1%的当月服务费</w:t>
                  </w:r>
                </w:p>
              </w:tc>
            </w:tr>
            <w:tr w14:paraId="02DE09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vAlign w:val="top"/>
                </w:tcPr>
                <w:p w14:paraId="20716531">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70分-79分</w:t>
                  </w:r>
                </w:p>
              </w:tc>
              <w:tc>
                <w:tcPr>
                  <w:tcW w:w="2799" w:type="dxa"/>
                  <w:tcBorders>
                    <w:top w:val="nil"/>
                    <w:left w:val="single" w:color="000000" w:sz="4" w:space="0"/>
                    <w:bottom w:val="single" w:color="000000" w:sz="4" w:space="0"/>
                    <w:right w:val="single" w:color="000000" w:sz="4" w:space="0"/>
                  </w:tcBorders>
                  <w:vAlign w:val="top"/>
                </w:tcPr>
                <w:p w14:paraId="67E5B26A">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扣减2%的当月服务费</w:t>
                  </w:r>
                </w:p>
              </w:tc>
            </w:tr>
            <w:tr w14:paraId="780705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799" w:type="dxa"/>
                  <w:tcBorders>
                    <w:top w:val="nil"/>
                    <w:left w:val="single" w:color="000000" w:sz="4" w:space="0"/>
                    <w:bottom w:val="single" w:color="000000" w:sz="4" w:space="0"/>
                    <w:right w:val="single" w:color="000000" w:sz="4" w:space="0"/>
                  </w:tcBorders>
                  <w:vAlign w:val="top"/>
                </w:tcPr>
                <w:p w14:paraId="5B1F730A">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70分（不含）以下</w:t>
                  </w:r>
                </w:p>
              </w:tc>
              <w:tc>
                <w:tcPr>
                  <w:tcW w:w="2799" w:type="dxa"/>
                  <w:tcBorders>
                    <w:top w:val="nil"/>
                    <w:left w:val="single" w:color="000000" w:sz="4" w:space="0"/>
                    <w:bottom w:val="single" w:color="000000" w:sz="4" w:space="0"/>
                    <w:right w:val="single" w:color="000000" w:sz="4" w:space="0"/>
                  </w:tcBorders>
                  <w:vAlign w:val="top"/>
                </w:tcPr>
                <w:p w14:paraId="6FAA9D2B">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扣减40%的当月服务费</w:t>
                  </w:r>
                </w:p>
              </w:tc>
            </w:tr>
          </w:tbl>
          <w:p w14:paraId="27A94E56">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（二）对服务评分低于70分的服务人员，由市民政局在全市范围内予以通报，并由</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、镇街督促其整改。整改后仍出现不合格情况的，由采购人有权要求中止其服务合同。</w:t>
            </w:r>
          </w:p>
          <w:p w14:paraId="5484FA3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（三）平台将根据各服务人员每个服务单的实际费用，自动汇总计算形成</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月度服务账单和镇月度服务账单。</w:t>
            </w:r>
          </w:p>
          <w:p w14:paraId="595DE1D9">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十一、项目服务质量评估</w:t>
            </w:r>
          </w:p>
          <w:p w14:paraId="58EAA33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1、项目服务质量评估由市民政局采取政府购买服务的方式委托第三方评估机构组织实施，评估工作经费列入市民政局年度部门预算安排。</w:t>
            </w:r>
          </w:p>
          <w:p w14:paraId="2BCEA2B5">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2、居家养老服务评估主要包括服务数量、场地硬件、制度建设、服务质素、服务成效、服务公开等六个方面。</w:t>
            </w:r>
          </w:p>
          <w:p w14:paraId="5876C9A1">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3、评估结果按服务项目类别分为优秀、良好、合格、不合格4个等级。评估结果通过媒体或网站公示7天。</w:t>
            </w:r>
          </w:p>
          <w:p w14:paraId="01A626C8">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4、对评估结果有异议的，应在公示期结束后7个工作日内向市民政局提出复评申请，由市民政局组织复评，复评结果为最终结果。</w:t>
            </w:r>
          </w:p>
          <w:p w14:paraId="6040F5B4">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对评估确定为不合格的服务机构或自主供给服务的村(社区)，由市民政局会同各镇(街道)民政部门督促整改。整改后仍不合格的自主供给服务的村(社区)，由市民政局在全市范围予以公示，并中止其服务合同；整改后仍不合格的服务机构，由采购人中止其服务合同。</w:t>
            </w:r>
          </w:p>
          <w:p w14:paraId="706A0D81">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十二、服务监督管理</w:t>
            </w:r>
          </w:p>
          <w:p w14:paraId="7D3D91B5">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(一)居家养老服务资金必须全部用于居家养老服务，任何单位和个人不得骗取、套取或截留、挤占、挪用；涉嫌违法犯罪的，依法追究其法律责任。</w:t>
            </w:r>
          </w:p>
          <w:p w14:paraId="71CFB29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(二)居家养老服务工作人员应当遵纪守法、恪守职业道德并强化服务意识。对服务态度恶劣、不按协议提供服务的，服务机构应依据劳动合同予以处理。</w:t>
            </w:r>
          </w:p>
          <w:p w14:paraId="0F906515">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(三)申请服务资助的申请人必须提供真实、有效、完备的资料和凭证。对有弄虚作假、骗取资助行为的，取消其资助资格，追回资助经费；涉嫌违法犯罪的，依法追究其法律责任。</w:t>
            </w:r>
          </w:p>
          <w:p w14:paraId="03C1A0EB">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四)服务机构负责社工、社工助理和护理人员日常管理、考核，对未达到协议标准的或不能通过相关工作考核的服务人员予以教育、改正或调换，并配合采购人对社工、社工助理和护理人员进行管理、教育、培训、考核等以促进社工和护理人员能力的不断提升。</w:t>
            </w:r>
          </w:p>
          <w:p w14:paraId="57BBD687">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(五) 服务机构需按照《东莞市居家养老服务管理办法 (修订) 》  (东府办〔2021〕12号) 的相关规定，完善对服务对象的服务需求评估建立健全服务资料档案，保证服务质量。</w:t>
            </w:r>
          </w:p>
          <w:p w14:paraId="2E7DE882">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十三、服务范围</w:t>
            </w:r>
          </w:p>
          <w:p w14:paraId="0F9F7CBD">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大朗镇18个社区（村）：包括：</w:t>
            </w:r>
            <w:r>
              <w:rPr>
                <w:rFonts w:hint="eastAsia" w:ascii="宋体" w:hAnsi="宋体" w:eastAsia="宋体" w:cs="宋体"/>
                <w:color w:val="000000"/>
                <w:sz w:val="22"/>
                <w:szCs w:val="22"/>
                <w:highlight w:val="none"/>
              </w:rPr>
              <w:t>杨涌、石厦、沙步、水口、蔡边、大井头、圣堂、巷头、巷尾、求富路、竹山、高英、黎贝岭、松柏朗、佛子凹、长富社区、大朗社区、佛新</w:t>
            </w:r>
            <w:r>
              <w:rPr>
                <w:rFonts w:hint="eastAsia" w:ascii="宋体" w:hAnsi="宋体" w:eastAsia="宋体" w:cs="宋体"/>
                <w:color w:val="000000"/>
                <w:sz w:val="22"/>
                <w:szCs w:val="22"/>
                <w:highlight w:val="none"/>
              </w:rPr>
              <w:t>，服务老人约555名（以实际数量为准）。</w:t>
            </w:r>
          </w:p>
          <w:p w14:paraId="1E9671B4">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★十四、服务时间、费用</w:t>
            </w:r>
          </w:p>
          <w:p w14:paraId="03352F3E">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服务费用构成包括人员薪酬、开展活动用的物资成本费用、宣传费用、培训费用、机构管理费、税费等其他一切费用，根据《东莞市居家养老服务管理办法(修订) 》(东府办〔2021〕12号) 文件要求，以重度失能的老人每人每月720元，中度失能的老人每人每月480元，轻度失能或能力完好的老人每人每月360元的服务标准提供居家养老服务，费用按照实际服务人数计算，总预算费用841.92万元。如若在服务期内市相关部门出台新的文件要求或服务标准，采购人应按新文件要求或服务标准对服务合同作出修改。</w:t>
            </w:r>
          </w:p>
          <w:tbl>
            <w:tblPr>
              <w:tblStyle w:val="8"/>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305"/>
              <w:gridCol w:w="1672"/>
              <w:gridCol w:w="1616"/>
            </w:tblGrid>
            <w:tr w14:paraId="699FAA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07" w:type="dxa"/>
                  <w:tcBorders>
                    <w:top w:val="single" w:color="000000" w:sz="4" w:space="0"/>
                    <w:left w:val="single" w:color="000000" w:sz="4" w:space="0"/>
                    <w:bottom w:val="single" w:color="000000" w:sz="4" w:space="0"/>
                    <w:right w:val="single" w:color="000000" w:sz="4" w:space="0"/>
                  </w:tcBorders>
                  <w:vAlign w:val="top"/>
                </w:tcPr>
                <w:p w14:paraId="1679E282">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服务对象</w:t>
                  </w:r>
                </w:p>
              </w:tc>
              <w:tc>
                <w:tcPr>
                  <w:tcW w:w="1673" w:type="dxa"/>
                  <w:tcBorders>
                    <w:top w:val="single" w:color="000000" w:sz="4" w:space="0"/>
                    <w:left w:val="nil"/>
                    <w:bottom w:val="single" w:color="000000" w:sz="4" w:space="0"/>
                    <w:right w:val="single" w:color="000000" w:sz="4" w:space="0"/>
                  </w:tcBorders>
                  <w:vAlign w:val="top"/>
                </w:tcPr>
                <w:p w14:paraId="4B1BC705">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初步预计人数（以审批后实际服务人数为准）</w:t>
                  </w:r>
                </w:p>
              </w:tc>
              <w:tc>
                <w:tcPr>
                  <w:tcW w:w="1617" w:type="dxa"/>
                  <w:tcBorders>
                    <w:top w:val="single" w:color="000000" w:sz="4" w:space="0"/>
                    <w:left w:val="nil"/>
                    <w:bottom w:val="single" w:color="000000" w:sz="4" w:space="0"/>
                    <w:right w:val="single" w:color="000000" w:sz="4" w:space="0"/>
                  </w:tcBorders>
                  <w:vAlign w:val="top"/>
                </w:tcPr>
                <w:p w14:paraId="4A0DA908">
                  <w:pPr>
                    <w:jc w:val="center"/>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服务费用标准（人民币 元/人/月）</w:t>
                  </w:r>
                </w:p>
              </w:tc>
            </w:tr>
            <w:tr w14:paraId="572D03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07" w:type="dxa"/>
                  <w:tcBorders>
                    <w:top w:val="nil"/>
                    <w:left w:val="single" w:color="000000" w:sz="4" w:space="0"/>
                    <w:bottom w:val="single" w:color="000000" w:sz="4" w:space="0"/>
                    <w:right w:val="single" w:color="000000" w:sz="4" w:space="0"/>
                  </w:tcBorders>
                  <w:vAlign w:val="top"/>
                </w:tcPr>
                <w:p w14:paraId="7E4BFB46">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经评估属于重度失能的</w:t>
                  </w:r>
                </w:p>
              </w:tc>
              <w:tc>
                <w:tcPr>
                  <w:tcW w:w="1673" w:type="dxa"/>
                  <w:tcBorders>
                    <w:top w:val="nil"/>
                    <w:left w:val="nil"/>
                    <w:bottom w:val="single" w:color="000000" w:sz="4" w:space="0"/>
                    <w:right w:val="single" w:color="000000" w:sz="4" w:space="0"/>
                  </w:tcBorders>
                  <w:vAlign w:val="top"/>
                </w:tcPr>
                <w:p w14:paraId="02BB792E">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350</w:t>
                  </w:r>
                </w:p>
              </w:tc>
              <w:tc>
                <w:tcPr>
                  <w:tcW w:w="1617" w:type="dxa"/>
                  <w:tcBorders>
                    <w:top w:val="nil"/>
                    <w:left w:val="nil"/>
                    <w:bottom w:val="single" w:color="000000" w:sz="4" w:space="0"/>
                    <w:right w:val="single" w:color="000000" w:sz="4" w:space="0"/>
                  </w:tcBorders>
                  <w:vAlign w:val="top"/>
                </w:tcPr>
                <w:p w14:paraId="09FC2CFC">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720</w:t>
                  </w:r>
                </w:p>
              </w:tc>
            </w:tr>
            <w:tr w14:paraId="75B090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07" w:type="dxa"/>
                  <w:tcBorders>
                    <w:top w:val="nil"/>
                    <w:left w:val="single" w:color="000000" w:sz="4" w:space="0"/>
                    <w:bottom w:val="single" w:color="000000" w:sz="4" w:space="0"/>
                    <w:right w:val="single" w:color="000000" w:sz="4" w:space="0"/>
                  </w:tcBorders>
                  <w:vAlign w:val="top"/>
                </w:tcPr>
                <w:p w14:paraId="40FC68D2">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经评估属于中度失能的</w:t>
                  </w:r>
                </w:p>
              </w:tc>
              <w:tc>
                <w:tcPr>
                  <w:tcW w:w="1673" w:type="dxa"/>
                  <w:tcBorders>
                    <w:top w:val="nil"/>
                    <w:left w:val="nil"/>
                    <w:bottom w:val="single" w:color="000000" w:sz="4" w:space="0"/>
                    <w:right w:val="single" w:color="000000" w:sz="4" w:space="0"/>
                  </w:tcBorders>
                  <w:vAlign w:val="top"/>
                </w:tcPr>
                <w:p w14:paraId="6C1BC70C">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200</w:t>
                  </w:r>
                </w:p>
              </w:tc>
              <w:tc>
                <w:tcPr>
                  <w:tcW w:w="1617" w:type="dxa"/>
                  <w:tcBorders>
                    <w:top w:val="nil"/>
                    <w:left w:val="nil"/>
                    <w:bottom w:val="single" w:color="000000" w:sz="4" w:space="0"/>
                    <w:right w:val="single" w:color="000000" w:sz="4" w:space="0"/>
                  </w:tcBorders>
                  <w:vAlign w:val="top"/>
                </w:tcPr>
                <w:p w14:paraId="06D6E037">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480</w:t>
                  </w:r>
                </w:p>
              </w:tc>
            </w:tr>
            <w:tr w14:paraId="698049B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07" w:type="dxa"/>
                  <w:tcBorders>
                    <w:top w:val="nil"/>
                    <w:left w:val="single" w:color="000000" w:sz="4" w:space="0"/>
                    <w:bottom w:val="single" w:color="000000" w:sz="4" w:space="0"/>
                    <w:right w:val="single" w:color="000000" w:sz="4" w:space="0"/>
                  </w:tcBorders>
                  <w:vAlign w:val="top"/>
                </w:tcPr>
                <w:p w14:paraId="7E6B31BB">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经评估属于轻度失能或能力完好的</w:t>
                  </w:r>
                </w:p>
              </w:tc>
              <w:tc>
                <w:tcPr>
                  <w:tcW w:w="1673" w:type="dxa"/>
                  <w:tcBorders>
                    <w:top w:val="nil"/>
                    <w:left w:val="nil"/>
                    <w:bottom w:val="single" w:color="000000" w:sz="4" w:space="0"/>
                    <w:right w:val="single" w:color="000000" w:sz="4" w:space="0"/>
                  </w:tcBorders>
                  <w:vAlign w:val="top"/>
                </w:tcPr>
                <w:p w14:paraId="2CC92002">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w:t>
                  </w:r>
                </w:p>
              </w:tc>
              <w:tc>
                <w:tcPr>
                  <w:tcW w:w="1617" w:type="dxa"/>
                  <w:tcBorders>
                    <w:top w:val="nil"/>
                    <w:left w:val="nil"/>
                    <w:bottom w:val="single" w:color="000000" w:sz="4" w:space="0"/>
                    <w:right w:val="single" w:color="000000" w:sz="4" w:space="0"/>
                  </w:tcBorders>
                  <w:vAlign w:val="top"/>
                </w:tcPr>
                <w:p w14:paraId="5B6360CA">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360</w:t>
                  </w:r>
                </w:p>
              </w:tc>
            </w:tr>
            <w:tr w14:paraId="1B5D98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07" w:type="dxa"/>
                  <w:tcBorders>
                    <w:top w:val="nil"/>
                    <w:left w:val="single" w:color="000000" w:sz="4" w:space="0"/>
                    <w:bottom w:val="single" w:color="000000" w:sz="4" w:space="0"/>
                    <w:right w:val="single" w:color="000000" w:sz="4" w:space="0"/>
                  </w:tcBorders>
                  <w:vAlign w:val="top"/>
                </w:tcPr>
                <w:p w14:paraId="46B64397">
                  <w:pPr>
                    <w:jc w:val="center"/>
                    <w:rPr>
                      <w:rFonts w:hint="eastAsia" w:ascii="宋体" w:hAnsi="宋体" w:eastAsia="宋体" w:cs="宋体"/>
                      <w:sz w:val="22"/>
                      <w:szCs w:val="22"/>
                      <w:highlight w:val="none"/>
                    </w:rPr>
                  </w:pPr>
                </w:p>
              </w:tc>
              <w:tc>
                <w:tcPr>
                  <w:tcW w:w="1673" w:type="dxa"/>
                  <w:tcBorders>
                    <w:top w:val="nil"/>
                    <w:left w:val="nil"/>
                    <w:bottom w:val="single" w:color="000000" w:sz="4" w:space="0"/>
                    <w:right w:val="single" w:color="000000" w:sz="4" w:space="0"/>
                  </w:tcBorders>
                  <w:vAlign w:val="top"/>
                </w:tcPr>
                <w:p w14:paraId="2F41F613">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555</w:t>
                  </w:r>
                </w:p>
              </w:tc>
              <w:tc>
                <w:tcPr>
                  <w:tcW w:w="1617" w:type="dxa"/>
                  <w:tcBorders>
                    <w:top w:val="nil"/>
                    <w:left w:val="nil"/>
                    <w:bottom w:val="single" w:color="000000" w:sz="4" w:space="0"/>
                    <w:right w:val="single" w:color="000000" w:sz="4" w:space="0"/>
                  </w:tcBorders>
                  <w:vAlign w:val="top"/>
                </w:tcPr>
                <w:p w14:paraId="4260834F">
                  <w:pPr>
                    <w:jc w:val="center"/>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w:t>
                  </w:r>
                </w:p>
              </w:tc>
            </w:tr>
          </w:tbl>
          <w:p w14:paraId="1B4C9D04">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十五、其他要求</w:t>
            </w:r>
          </w:p>
          <w:p w14:paraId="68255B6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投标人应保障对专业人才服务购买费用的投入，其中社工、康复师、营养师及护理师岗位购买费用应按照《东莞市人民政府办公室关于印发&lt;东莞市政府购买社会工作服务实施办法&gt; 的通知》  (东府办[2021]8号) 规定予以投入，若在服务期内，东莞市社工服务购买指导价发生增长的，采购人有权要求</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追加相关投入。护理人员月工资不能低于东莞市最低工资标准1900元/月 (如东莞市最低工资标准有调整，调整的差价由</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负责) 。</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不得拖欠或克扣社工、社工助理、康复师、营养师、护理师及护理人员的工资，工作时间和休息休假需按照《中华人民共和国劳动法》执行。</w:t>
            </w:r>
            <w:r>
              <w:rPr>
                <w:rFonts w:hint="eastAsia" w:ascii="宋体" w:hAnsi="宋体" w:eastAsia="宋体" w:cs="宋体"/>
                <w:color w:val="000000"/>
                <w:sz w:val="22"/>
                <w:szCs w:val="22"/>
                <w:highlight w:val="none"/>
                <w:lang w:eastAsia="zh-CN"/>
              </w:rPr>
              <w:t>中标供应商</w:t>
            </w:r>
            <w:r>
              <w:rPr>
                <w:rFonts w:hint="eastAsia" w:ascii="宋体" w:hAnsi="宋体" w:eastAsia="宋体" w:cs="宋体"/>
                <w:color w:val="000000"/>
                <w:sz w:val="22"/>
                <w:szCs w:val="22"/>
                <w:highlight w:val="none"/>
              </w:rPr>
              <w:t>在服务期内，不得中途自行转卖项目，不得擅自变更法人代表，如确有必要，需提前征得采购人同意。</w:t>
            </w:r>
          </w:p>
          <w:p w14:paraId="69996E34">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十六、其他</w:t>
            </w:r>
          </w:p>
          <w:p w14:paraId="2891D975">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(1) 投标人应符合《政府购买服务管理办法》(财政部令第102号) 规定，并具备以下条件：</w:t>
            </w:r>
          </w:p>
          <w:p w14:paraId="70E8F397">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1、具有独立承担民事责任的能力，并具备参加政府采购活动的合法条件；</w:t>
            </w:r>
          </w:p>
          <w:p w14:paraId="1506C0BF">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2、具有履行合同所必需的设施和设备，拥有专业的居家养老服务管理和服务团队；项目负责人具有3年以上的养老服务或医疗、健康服务业从业经历和经验；</w:t>
            </w:r>
          </w:p>
          <w:p w14:paraId="7FEAA596">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3、具有依法缴纳税费和社会保障资金的良好记录，财务状况良好；</w:t>
            </w:r>
          </w:p>
          <w:p w14:paraId="2BB46F1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4、提供康复护理服务的机构，应根据服务资源、服务对象失能程度等实际情况，合理确定护理人员与服务对象的配备比例；护理人员应完成专业岗前培训或具有专业技术教育背景；</w:t>
            </w:r>
          </w:p>
          <w:p w14:paraId="1BBFFE9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5、能严格按照协议使用服务设施，自觉接受民政部门管理和指导；认真落实消防、环保、卫生、安全管理等相关法律法规要求，并购买场地意外责任保险；</w:t>
            </w:r>
          </w:p>
          <w:p w14:paraId="587402DB">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6、能有效管理社区居家养老服务相关文件和档案，真实完整记录并及时更新服务对象信息，保护个人信息安全；机构应在服务合同到期前，至少提前14个工作日主动将居家养老服务相关文件、服务对象档案、服务记录台账等全部资料移交给服务采购单位；</w:t>
            </w:r>
          </w:p>
          <w:p w14:paraId="48A30C1A">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7、建立防范服务风险制度，为工作人员购买人身意外保险；</w:t>
            </w:r>
          </w:p>
          <w:p w14:paraId="0C4B1415">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8、必须在居家养老服务内容范围内开展服务。不得以居家养老服务为名从事传销、强迫性消费等损害老年人合法权益和公共利益的活动。</w:t>
            </w:r>
          </w:p>
          <w:p w14:paraId="66DF47FE">
            <w:pPr>
              <w:ind w:firstLine="442"/>
              <w:rPr>
                <w:rFonts w:hint="eastAsia" w:ascii="宋体" w:hAnsi="宋体" w:eastAsia="宋体" w:cs="宋体"/>
                <w:sz w:val="22"/>
                <w:szCs w:val="22"/>
                <w:highlight w:val="none"/>
              </w:rPr>
            </w:pPr>
            <w:r>
              <w:rPr>
                <w:rFonts w:hint="eastAsia" w:ascii="宋体" w:hAnsi="宋体" w:eastAsia="宋体" w:cs="宋体"/>
                <w:b/>
                <w:color w:val="000000"/>
                <w:sz w:val="22"/>
                <w:szCs w:val="22"/>
                <w:highlight w:val="none"/>
              </w:rPr>
              <w:t>(2) 市场退出机制</w:t>
            </w:r>
          </w:p>
          <w:p w14:paraId="55C2E878">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服务机构存在以下行为的，由园区、镇(街道) 民政部门根据合同约定，采取约谈、督促整改、暂停资金结算等措施；情节严重的，暂停合同履行。</w:t>
            </w:r>
          </w:p>
          <w:p w14:paraId="7E8CE5B1">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1、不按承诺提供服务或者服务质量低于行业标准；</w:t>
            </w:r>
          </w:p>
          <w:p w14:paraId="3CD80EFE">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2、接到服务对象投诉拒绝处理；</w:t>
            </w:r>
          </w:p>
          <w:p w14:paraId="0680BD36">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3、一年内多次被服务对象投诉，经核实责任在服务机构3次以上；</w:t>
            </w:r>
          </w:p>
          <w:p w14:paraId="6F2674B8">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4、不按规定程序录入服务工单和结算；</w:t>
            </w:r>
          </w:p>
          <w:p w14:paraId="1A85E21C">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5、实际服务内容和申报服务内容不符；</w:t>
            </w:r>
          </w:p>
          <w:p w14:paraId="7FFAC8B9">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6、以其他服务代替指定服务；</w:t>
            </w:r>
          </w:p>
          <w:p w14:paraId="0BFD1D0B">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7、泄露服务对象个人信息，侵犯服务对象合法权益；</w:t>
            </w:r>
          </w:p>
          <w:p w14:paraId="50B7CCA8">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8、采取不正当竞争手段，谋取不正当利益；</w:t>
            </w:r>
          </w:p>
          <w:p w14:paraId="2ECE537F">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9、违反合同约定或者其他违规行为。</w:t>
            </w:r>
          </w:p>
          <w:p w14:paraId="2F322822">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服务机构存在以下行为的，园区、镇(街道) 民政部门一经查实，可依法依约停止其服务工单申报和资金结算，暂停合同履行1个 季度至1年；情节严重的解除合同。</w:t>
            </w:r>
          </w:p>
          <w:p w14:paraId="79E8B034">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1、提供虚假准入信息；</w:t>
            </w:r>
          </w:p>
          <w:p w14:paraId="632F48ED">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2、不按规定提供服务，套取现金或者将老年人服务额度转移间接套取服务补贴资金；</w:t>
            </w:r>
          </w:p>
          <w:p w14:paraId="781219CF">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3、冒用老年人资料提供虚假服务；</w:t>
            </w:r>
          </w:p>
          <w:p w14:paraId="6F779ED6">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4、服务满意率未达到90%；</w:t>
            </w:r>
          </w:p>
          <w:p w14:paraId="4FA7C0A6">
            <w:pPr>
              <w:ind w:firstLine="440"/>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5、其他被认定为严重扰乱管理秩序的行为。</w:t>
            </w:r>
          </w:p>
          <w:p w14:paraId="3BED8195">
            <w:pPr>
              <w:ind w:firstLine="440"/>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w:t>
            </w:r>
          </w:p>
          <w:p w14:paraId="33DB2CD5">
            <w:pPr>
              <w:ind w:firstLine="440"/>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w:t>
            </w:r>
          </w:p>
        </w:tc>
      </w:tr>
      <w:tr w14:paraId="43C03B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94CB38A">
            <w:pPr>
              <w:rPr>
                <w:rFonts w:hint="eastAsia" w:ascii="宋体" w:hAnsi="宋体" w:eastAsia="宋体" w:cs="宋体"/>
                <w:sz w:val="22"/>
                <w:szCs w:val="22"/>
                <w:highlight w:val="none"/>
              </w:rPr>
            </w:pPr>
            <w:r>
              <w:rPr>
                <w:rFonts w:hint="eastAsia" w:ascii="宋体" w:hAnsi="宋体" w:eastAsia="宋体" w:cs="宋体"/>
                <w:sz w:val="22"/>
                <w:szCs w:val="22"/>
                <w:highlight w:val="none"/>
              </w:rPr>
              <w:t>说明</w:t>
            </w:r>
          </w:p>
        </w:tc>
        <w:tc>
          <w:tcPr>
            <w:tcW w:w="6229" w:type="dxa"/>
            <w:gridSpan w:val="2"/>
          </w:tcPr>
          <w:p w14:paraId="782C9227">
            <w:pPr>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打“★”号条款为实质性条款，若有任何一条负偏离或不满足则导致投标无效。</w:t>
            </w:r>
            <w:r>
              <w:rPr>
                <w:rFonts w:hint="eastAsia" w:ascii="宋体" w:hAnsi="宋体" w:eastAsia="宋体" w:cs="宋体"/>
                <w:sz w:val="22"/>
                <w:szCs w:val="22"/>
                <w:highlight w:val="none"/>
              </w:rPr>
              <w:br w:type="textWrapping"/>
            </w:r>
            <w:r>
              <w:rPr>
                <w:rFonts w:hint="eastAsia" w:ascii="宋体" w:hAnsi="宋体" w:eastAsia="宋体" w:cs="宋体"/>
                <w:sz w:val="22"/>
                <w:szCs w:val="22"/>
                <w:highlight w:val="none"/>
              </w:rPr>
              <w:t>打“▲”号条款为重要技术参数，若有部分“▲”条款未响应或不满足，将导致其响应性评审加重扣分，但不作为无效投标条款。</w:t>
            </w:r>
          </w:p>
        </w:tc>
      </w:tr>
    </w:tbl>
    <w:p w14:paraId="660F75D6">
      <w:pPr>
        <w:rPr>
          <w:rFonts w:hint="eastAsia" w:ascii="宋体" w:hAnsi="宋体" w:eastAsia="宋体" w:cs="宋体"/>
          <w:sz w:val="22"/>
          <w:szCs w:val="22"/>
          <w:highlight w:val="none"/>
        </w:rPr>
      </w:pPr>
    </w:p>
    <w:p w14:paraId="70644F0C">
      <w:pPr>
        <w:ind w:firstLine="480"/>
        <w:rPr>
          <w:rFonts w:hint="eastAsia" w:ascii="宋体" w:hAnsi="宋体" w:eastAsia="宋体" w:cs="宋体"/>
          <w:sz w:val="22"/>
          <w:szCs w:val="22"/>
          <w:highlight w:val="none"/>
        </w:rPr>
      </w:pPr>
    </w:p>
    <w:p w14:paraId="07271E8F">
      <w:pPr>
        <w:rPr>
          <w:rFonts w:hint="eastAsia" w:ascii="宋体" w:hAnsi="宋体" w:eastAsia="宋体" w:cs="宋体"/>
          <w:sz w:val="22"/>
          <w:szCs w:val="2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cript"/>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FC0E65"/>
    <w:rsid w:val="004C513C"/>
    <w:rsid w:val="11FC0E65"/>
    <w:rsid w:val="146C3F89"/>
    <w:rsid w:val="169243E3"/>
    <w:rsid w:val="1B4C295A"/>
    <w:rsid w:val="22F3365F"/>
    <w:rsid w:val="3168109A"/>
    <w:rsid w:val="3C484233"/>
    <w:rsid w:val="3EA12316"/>
    <w:rsid w:val="3F842B6E"/>
    <w:rsid w:val="4CB21301"/>
    <w:rsid w:val="4D730311"/>
    <w:rsid w:val="566C002D"/>
    <w:rsid w:val="5D8772F7"/>
    <w:rsid w:val="67CF5902"/>
    <w:rsid w:val="75796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表格文字"/>
    <w:basedOn w:val="1"/>
    <w:next w:val="3"/>
    <w:qFormat/>
    <w:uiPriority w:val="0"/>
    <w:pPr>
      <w:spacing w:before="25" w:after="25"/>
    </w:pPr>
    <w:rPr>
      <w:rFonts w:ascii="Times New Roman"/>
      <w:bCs/>
      <w:spacing w:val="10"/>
      <w:szCs w:val="20"/>
    </w:rPr>
  </w:style>
  <w:style w:type="paragraph" w:styleId="3">
    <w:name w:val="caption"/>
    <w:basedOn w:val="1"/>
    <w:next w:val="1"/>
    <w:qFormat/>
    <w:uiPriority w:val="0"/>
    <w:rPr>
      <w:rFonts w:ascii="Arial" w:hAnsi="Arial" w:eastAsia="黑体" w:cs="Arial"/>
      <w:sz w:val="20"/>
      <w:szCs w:val="20"/>
    </w:rPr>
  </w:style>
  <w:style w:type="paragraph" w:styleId="5">
    <w:name w:val="Body Text"/>
    <w:basedOn w:val="1"/>
    <w:next w:val="1"/>
    <w:qFormat/>
    <w:uiPriority w:val="0"/>
    <w:rPr>
      <w:rFonts w:ascii="楷体_GB2312" w:hAnsi="Arial" w:eastAsia="楷体_GB2312"/>
      <w:bCs/>
      <w:sz w:val="28"/>
      <w:szCs w:val="28"/>
    </w:rPr>
  </w:style>
  <w:style w:type="paragraph" w:styleId="6">
    <w:name w:val="toc 3"/>
    <w:basedOn w:val="1"/>
    <w:next w:val="1"/>
    <w:qFormat/>
    <w:uiPriority w:val="0"/>
    <w:pPr>
      <w:tabs>
        <w:tab w:val="right" w:leader="dot" w:pos="9639"/>
      </w:tabs>
      <w:spacing w:line="480" w:lineRule="auto"/>
      <w:ind w:left="480" w:leftChars="200"/>
    </w:pPr>
    <w:rPr>
      <w:rFonts w:ascii="仿宋" w:hAnsi="仿宋" w:eastAsia="宋体" w:cs="仿宋"/>
      <w:sz w:val="22"/>
      <w:szCs w:val="36"/>
      <w:highlight w:val="none"/>
    </w:rPr>
  </w:style>
  <w:style w:type="paragraph" w:styleId="7">
    <w:name w:val="footer"/>
    <w:basedOn w:val="1"/>
    <w:qFormat/>
    <w:uiPriority w:val="99"/>
    <w:pPr>
      <w:tabs>
        <w:tab w:val="center" w:pos="4153"/>
        <w:tab w:val="right" w:pos="8306"/>
      </w:tabs>
      <w:snapToGrid w:val="0"/>
      <w:jc w:val="left"/>
    </w:pPr>
    <w:rPr>
      <w:sz w:val="18"/>
    </w:rPr>
  </w:style>
  <w:style w:type="paragraph" w:customStyle="1" w:styleId="10">
    <w:name w:val="需求文字"/>
    <w:basedOn w:val="1"/>
    <w:link w:val="11"/>
    <w:qFormat/>
    <w:uiPriority w:val="0"/>
    <w:pPr>
      <w:spacing w:line="420" w:lineRule="exact"/>
      <w:ind w:firstLine="420" w:firstLineChars="200"/>
    </w:pPr>
    <w:rPr>
      <w:rFonts w:hint="eastAsia" w:ascii="宋体" w:hAnsi="宋体" w:eastAsia="宋体"/>
      <w:kern w:val="0"/>
      <w:sz w:val="22"/>
      <w:szCs w:val="20"/>
    </w:rPr>
  </w:style>
  <w:style w:type="character" w:customStyle="1" w:styleId="11">
    <w:name w:val="需求文字 Char"/>
    <w:link w:val="10"/>
    <w:qFormat/>
    <w:uiPriority w:val="0"/>
    <w:rPr>
      <w:rFonts w:hint="eastAsia" w:ascii="宋体" w:hAnsi="宋体" w:eastAsia="宋体"/>
      <w:sz w:val="22"/>
    </w:rPr>
  </w:style>
  <w:style w:type="paragraph" w:customStyle="1" w:styleId="12">
    <w:name w:val="需求表格"/>
    <w:basedOn w:val="1"/>
    <w:qFormat/>
    <w:uiPriority w:val="0"/>
    <w:pPr>
      <w:spacing w:line="420" w:lineRule="exact"/>
      <w:ind w:firstLine="0" w:firstLineChars="0"/>
      <w:jc w:val="center"/>
    </w:pPr>
    <w:rPr>
      <w:rFonts w:hint="eastAsia" w:ascii="宋体" w:hAnsi="宋体" w:eastAsia="宋体"/>
      <w:sz w:val="22"/>
      <w:szCs w:val="22"/>
    </w:rPr>
  </w:style>
  <w:style w:type="paragraph" w:customStyle="1" w:styleId="13">
    <w:name w:val="表格文件"/>
    <w:basedOn w:val="1"/>
    <w:qFormat/>
    <w:uiPriority w:val="0"/>
    <w:pPr>
      <w:spacing w:line="420" w:lineRule="exact"/>
      <w:jc w:val="left"/>
    </w:pPr>
    <w:rPr>
      <w:rFonts w:hint="eastAsia" w:ascii="宋体" w:hAnsi="宋体" w:eastAsia="宋体" w:cs="宋体"/>
      <w:color w:val="auto"/>
      <w:sz w:val="22"/>
      <w:szCs w:val="22"/>
    </w:rPr>
  </w:style>
  <w:style w:type="paragraph" w:customStyle="1" w:styleId="14">
    <w:name w:val="列出段落11"/>
    <w:basedOn w:val="1"/>
    <w:qFormat/>
    <w:uiPriority w:val="34"/>
    <w:pPr>
      <w:widowControl/>
      <w:snapToGrid w:val="0"/>
      <w:spacing w:beforeAutospacing="0" w:after="200" w:afterAutospacing="0"/>
      <w:ind w:firstLine="420" w:firstLineChars="200"/>
      <w:jc w:val="left"/>
    </w:pPr>
    <w:rPr>
      <w:rFonts w:ascii="Tahoma" w:hAnsi="Tahoma" w:eastAsia="微软雅黑"/>
      <w:kern w:val="0"/>
      <w:sz w:val="22"/>
      <w:szCs w:val="22"/>
    </w:rPr>
  </w:style>
  <w:style w:type="paragraph" w:styleId="15">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7968</Words>
  <Characters>9271</Characters>
  <Lines>0</Lines>
  <Paragraphs>0</Paragraphs>
  <TotalTime>0</TotalTime>
  <ScaleCrop>false</ScaleCrop>
  <LinksUpToDate>false</LinksUpToDate>
  <CharactersWithSpaces>9729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2025-09-16T10:08:00Z</dcterms:created>
  <dc:creator>11</dc:creator>
  <cp:lastModifiedBy>11</cp:lastModifiedBy>
  <dcterms:modified xsi:type="dcterms:W3CDTF">2025-10-31T09:40:34Z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3209BF807059499CAF036960CA120EFB_11</vt:lpwstr>
  </property>
  <property fmtid="{D5CDD505-2E9C-101B-9397-08002B2CF9AE}" pid="4" name="KSOTemplateDocerSaveRecord">
    <vt:lpwstr>eyJoZGlkIjoiMDFlMzA1NmFmMjg2M2MyZDg5ZmJhODEzYjk2YWZhMTAiLCJ1c2VySWQiOiI1MjY3NzE3NDkifQ==</vt:lpwstr>
  </property>
</Properties>
</file>