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4866C">
      <w:pPr>
        <w:pStyle w:val="2"/>
        <w:spacing w:before="0" w:line="360" w:lineRule="auto"/>
        <w:ind w:left="5196" w:leftChars="0" w:right="106" w:rightChars="0" w:hanging="5196" w:hangingChars="1703"/>
        <w:contextualSpacing/>
        <w:rPr>
          <w:rFonts w:hint="eastAsia" w:ascii="宋体" w:hAnsi="宋体" w:eastAsia="宋体" w:cs="宋体"/>
          <w:color w:val="auto"/>
          <w:spacing w:val="12"/>
          <w:sz w:val="28"/>
          <w:szCs w:val="28"/>
          <w:highlight w:val="none"/>
          <w:lang w:val="en-US" w:eastAsia="zh-CN"/>
        </w:rPr>
      </w:pPr>
      <w:r>
        <w:rPr>
          <w:rFonts w:hint="eastAsia" w:ascii="宋体" w:hAnsi="宋体" w:eastAsia="宋体" w:cs="宋体"/>
          <w:color w:val="auto"/>
          <w:spacing w:val="12"/>
          <w:sz w:val="28"/>
          <w:szCs w:val="28"/>
          <w:highlight w:val="none"/>
          <w:lang w:val="en-US" w:eastAsia="zh-CN"/>
        </w:rPr>
        <w:t>附件一：需求问卷调查</w:t>
      </w:r>
    </w:p>
    <w:p w14:paraId="4F1E948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（一）相关</w:t>
      </w:r>
      <w:r>
        <w:rPr>
          <w:rFonts w:hint="eastAsia" w:ascii="宋体" w:hAnsi="宋体" w:eastAsia="宋体" w:cs="宋体"/>
          <w:b/>
          <w:color w:val="auto"/>
          <w:kern w:val="0"/>
          <w:sz w:val="32"/>
          <w:szCs w:val="32"/>
          <w:highlight w:val="none"/>
          <w:lang w:val="en-US" w:eastAsia="zh-CN"/>
        </w:rPr>
        <w:t>社会工作服务</w:t>
      </w:r>
      <w:r>
        <w:rPr>
          <w:rFonts w:hint="eastAsia" w:ascii="宋体" w:hAnsi="宋体" w:eastAsia="宋体" w:cs="宋体"/>
          <w:b/>
          <w:color w:val="auto"/>
          <w:kern w:val="0"/>
          <w:sz w:val="32"/>
          <w:szCs w:val="32"/>
          <w:highlight w:val="none"/>
        </w:rPr>
        <w:t>产业发展</w:t>
      </w:r>
    </w:p>
    <w:p w14:paraId="23FBB8EB">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1.现有</w:t>
      </w:r>
      <w:r>
        <w:rPr>
          <w:rFonts w:hint="eastAsia" w:ascii="宋体" w:hAnsi="宋体" w:eastAsia="宋体" w:cs="宋体"/>
          <w:color w:val="auto"/>
          <w:sz w:val="32"/>
          <w:szCs w:val="32"/>
          <w:highlight w:val="none"/>
          <w:lang w:eastAsia="zh-CN"/>
        </w:rPr>
        <w:t>社会工作服务行业</w:t>
      </w:r>
      <w:r>
        <w:rPr>
          <w:rFonts w:hint="eastAsia" w:ascii="宋体" w:hAnsi="宋体" w:eastAsia="宋体" w:cs="宋体"/>
          <w:color w:val="auto"/>
          <w:sz w:val="32"/>
          <w:szCs w:val="32"/>
          <w:highlight w:val="none"/>
        </w:rPr>
        <w:t>的发展历程、行业现状等：</w:t>
      </w:r>
    </w:p>
    <w:p w14:paraId="09D3D1B9">
      <w:pPr>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填写社会工作服务行业的发展历程和行业现状</w:t>
      </w:r>
      <w:r>
        <w:rPr>
          <w:rFonts w:hint="eastAsia" w:ascii="宋体" w:hAnsi="宋体" w:eastAsia="宋体" w:cs="宋体"/>
          <w:color w:val="auto"/>
          <w:sz w:val="32"/>
          <w:szCs w:val="32"/>
          <w:highlight w:val="none"/>
          <w:lang w:eastAsia="zh-CN"/>
        </w:rPr>
        <w:t>）</w:t>
      </w:r>
    </w:p>
    <w:p w14:paraId="738F5B93">
      <w:pPr>
        <w:rPr>
          <w:rFonts w:hint="eastAsia" w:ascii="宋体" w:hAnsi="宋体" w:eastAsia="宋体" w:cs="宋体"/>
          <w:color w:val="auto"/>
          <w:sz w:val="32"/>
          <w:szCs w:val="32"/>
          <w:highlight w:val="none"/>
        </w:rPr>
      </w:pPr>
    </w:p>
    <w:p w14:paraId="3FE85F72">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w:t>
      </w:r>
      <w:r>
        <w:rPr>
          <w:rFonts w:hint="eastAsia" w:ascii="宋体" w:hAnsi="宋体" w:eastAsia="宋体" w:cs="宋体"/>
          <w:color w:val="auto"/>
          <w:sz w:val="32"/>
          <w:szCs w:val="32"/>
          <w:highlight w:val="none"/>
          <w:lang w:eastAsia="zh-CN"/>
        </w:rPr>
        <w:t>社会工作服务</w:t>
      </w:r>
      <w:r>
        <w:rPr>
          <w:rFonts w:hint="eastAsia" w:ascii="宋体" w:hAnsi="宋体" w:eastAsia="宋体" w:cs="宋体"/>
          <w:color w:val="auto"/>
          <w:sz w:val="32"/>
          <w:szCs w:val="32"/>
          <w:highlight w:val="none"/>
        </w:rPr>
        <w:t>可能涉及的企业资质、人员资质：</w:t>
      </w:r>
    </w:p>
    <w:p w14:paraId="217763CF">
      <w:pPr>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填写从事社会工作服务所需的企业资质以及人员资质</w:t>
      </w:r>
      <w:r>
        <w:rPr>
          <w:rFonts w:hint="eastAsia" w:ascii="宋体" w:hAnsi="宋体" w:eastAsia="宋体" w:cs="宋体"/>
          <w:color w:val="auto"/>
          <w:sz w:val="32"/>
          <w:szCs w:val="32"/>
          <w:highlight w:val="none"/>
          <w:lang w:eastAsia="zh-CN"/>
        </w:rPr>
        <w:t>）</w:t>
      </w:r>
    </w:p>
    <w:p w14:paraId="5EE87EE2">
      <w:pPr>
        <w:rPr>
          <w:rFonts w:hint="eastAsia" w:ascii="宋体" w:hAnsi="宋体" w:eastAsia="宋体" w:cs="宋体"/>
          <w:color w:val="auto"/>
          <w:sz w:val="32"/>
          <w:szCs w:val="32"/>
          <w:highlight w:val="none"/>
        </w:rPr>
      </w:pPr>
    </w:p>
    <w:p w14:paraId="25E54991">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w:t>
      </w:r>
      <w:r>
        <w:rPr>
          <w:rFonts w:hint="eastAsia" w:ascii="宋体" w:hAnsi="宋体" w:eastAsia="宋体" w:cs="宋体"/>
          <w:color w:val="auto"/>
          <w:sz w:val="32"/>
          <w:szCs w:val="32"/>
          <w:highlight w:val="none"/>
          <w:lang w:eastAsia="zh-CN"/>
        </w:rPr>
        <w:t>社会工作服务</w:t>
      </w:r>
      <w:r>
        <w:rPr>
          <w:rFonts w:hint="eastAsia" w:ascii="宋体" w:hAnsi="宋体" w:eastAsia="宋体" w:cs="宋体"/>
          <w:color w:val="auto"/>
          <w:sz w:val="32"/>
          <w:szCs w:val="32"/>
          <w:highlight w:val="none"/>
        </w:rPr>
        <w:t>涉及的相关标准和规范：</w:t>
      </w:r>
    </w:p>
    <w:p w14:paraId="574EF8B0">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填写从事社会工作服务所需遵循的相关法律法规、标准、规范</w:t>
      </w:r>
      <w:r>
        <w:rPr>
          <w:rFonts w:hint="eastAsia" w:ascii="宋体" w:hAnsi="宋体" w:eastAsia="宋体" w:cs="宋体"/>
          <w:color w:val="auto"/>
          <w:sz w:val="32"/>
          <w:szCs w:val="32"/>
          <w:highlight w:val="none"/>
          <w:lang w:eastAsia="zh-CN"/>
        </w:rPr>
        <w:t>）</w:t>
      </w:r>
    </w:p>
    <w:p w14:paraId="0BA2ADF5">
      <w:pPr>
        <w:rPr>
          <w:rFonts w:hint="eastAsia" w:ascii="宋体" w:hAnsi="宋体" w:eastAsia="宋体" w:cs="宋体"/>
          <w:color w:val="auto"/>
          <w:sz w:val="32"/>
          <w:szCs w:val="32"/>
          <w:highlight w:val="none"/>
        </w:rPr>
      </w:pPr>
    </w:p>
    <w:p w14:paraId="0DD6BDD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（二）市场供给</w:t>
      </w:r>
    </w:p>
    <w:p w14:paraId="1ABC10F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1.市场竞争程度：</w:t>
      </w:r>
    </w:p>
    <w:p w14:paraId="14896B0B">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填写社会工作服务行业的市场竞争程度</w:t>
      </w:r>
      <w:r>
        <w:rPr>
          <w:rFonts w:hint="eastAsia" w:ascii="宋体" w:hAnsi="宋体" w:eastAsia="宋体" w:cs="宋体"/>
          <w:color w:val="auto"/>
          <w:sz w:val="32"/>
          <w:szCs w:val="32"/>
          <w:highlight w:val="none"/>
          <w:lang w:eastAsia="zh-CN"/>
        </w:rPr>
        <w:t>）</w:t>
      </w:r>
    </w:p>
    <w:p w14:paraId="04E24DF3">
      <w:pPr>
        <w:rPr>
          <w:rFonts w:hint="eastAsia" w:ascii="宋体" w:hAnsi="宋体" w:eastAsia="宋体" w:cs="宋体"/>
          <w:color w:val="auto"/>
          <w:sz w:val="32"/>
          <w:szCs w:val="32"/>
          <w:highlight w:val="none"/>
        </w:rPr>
      </w:pPr>
    </w:p>
    <w:p w14:paraId="75758B31">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2</w:t>
      </w:r>
      <w:r>
        <w:rPr>
          <w:rFonts w:hint="eastAsia" w:ascii="宋体" w:hAnsi="宋体" w:eastAsia="宋体" w:cs="宋体"/>
          <w:color w:val="auto"/>
          <w:sz w:val="32"/>
          <w:szCs w:val="32"/>
          <w:highlight w:val="none"/>
        </w:rPr>
        <w:t>.潜在供应商的数量、履约能力、售后服务能力：</w:t>
      </w:r>
    </w:p>
    <w:p w14:paraId="7DDA8919">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填写社会工作服务行业的</w:t>
      </w:r>
      <w:r>
        <w:rPr>
          <w:rFonts w:hint="eastAsia" w:ascii="宋体" w:hAnsi="宋体" w:eastAsia="宋体" w:cs="宋体"/>
          <w:color w:val="auto"/>
          <w:sz w:val="32"/>
          <w:szCs w:val="32"/>
          <w:highlight w:val="none"/>
        </w:rPr>
        <w:t>潜在供应商的数量、履约能力、售后服务能力</w:t>
      </w:r>
      <w:r>
        <w:rPr>
          <w:rFonts w:hint="eastAsia" w:ascii="宋体" w:hAnsi="宋体" w:eastAsia="宋体" w:cs="宋体"/>
          <w:color w:val="auto"/>
          <w:sz w:val="32"/>
          <w:szCs w:val="32"/>
          <w:highlight w:val="none"/>
          <w:lang w:eastAsia="zh-CN"/>
        </w:rPr>
        <w:t>）</w:t>
      </w:r>
    </w:p>
    <w:p w14:paraId="285E8A09">
      <w:pPr>
        <w:rPr>
          <w:rFonts w:hint="eastAsia" w:ascii="宋体" w:hAnsi="宋体" w:eastAsia="宋体" w:cs="宋体"/>
          <w:color w:val="auto"/>
          <w:sz w:val="32"/>
          <w:szCs w:val="32"/>
          <w:highlight w:val="none"/>
        </w:rPr>
      </w:pPr>
    </w:p>
    <w:p w14:paraId="7E4D8637">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（三）同类采购项目历史成交信息</w:t>
      </w:r>
    </w:p>
    <w:tbl>
      <w:tblPr>
        <w:tblStyle w:val="13"/>
        <w:tblW w:w="8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75"/>
        <w:gridCol w:w="2613"/>
        <w:gridCol w:w="1237"/>
        <w:gridCol w:w="1200"/>
        <w:gridCol w:w="1146"/>
      </w:tblGrid>
      <w:tr w14:paraId="048E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60" w:type="dxa"/>
            <w:vAlign w:val="center"/>
          </w:tcPr>
          <w:p w14:paraId="649806C8">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1275" w:type="dxa"/>
            <w:vAlign w:val="center"/>
          </w:tcPr>
          <w:p w14:paraId="4FE0E982">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采购人</w:t>
            </w:r>
          </w:p>
        </w:tc>
        <w:tc>
          <w:tcPr>
            <w:tcW w:w="2613" w:type="dxa"/>
            <w:vAlign w:val="center"/>
          </w:tcPr>
          <w:p w14:paraId="7B9A6B09">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1237" w:type="dxa"/>
            <w:vAlign w:val="center"/>
          </w:tcPr>
          <w:p w14:paraId="43E7FB92">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项目预算</w:t>
            </w:r>
          </w:p>
        </w:tc>
        <w:tc>
          <w:tcPr>
            <w:tcW w:w="1200" w:type="dxa"/>
            <w:vAlign w:val="center"/>
          </w:tcPr>
          <w:p w14:paraId="0EBAEA69">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中标人</w:t>
            </w:r>
          </w:p>
        </w:tc>
        <w:tc>
          <w:tcPr>
            <w:tcW w:w="1146" w:type="dxa"/>
            <w:vAlign w:val="center"/>
          </w:tcPr>
          <w:p w14:paraId="33E9C213">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中标价</w:t>
            </w:r>
          </w:p>
        </w:tc>
      </w:tr>
      <w:tr w14:paraId="2A03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60" w:type="dxa"/>
            <w:vAlign w:val="center"/>
          </w:tcPr>
          <w:p w14:paraId="58638194">
            <w:pPr>
              <w:jc w:val="center"/>
              <w:rPr>
                <w:rFonts w:hint="eastAsia" w:ascii="宋体" w:hAnsi="宋体" w:eastAsia="宋体" w:cs="宋体"/>
                <w:color w:val="auto"/>
                <w:sz w:val="24"/>
                <w:highlight w:val="none"/>
              </w:rPr>
            </w:pPr>
          </w:p>
        </w:tc>
        <w:tc>
          <w:tcPr>
            <w:tcW w:w="1275" w:type="dxa"/>
            <w:vAlign w:val="center"/>
          </w:tcPr>
          <w:p w14:paraId="3FF45FC7">
            <w:pPr>
              <w:jc w:val="center"/>
              <w:rPr>
                <w:rFonts w:hint="eastAsia" w:ascii="宋体" w:hAnsi="宋体" w:eastAsia="宋体" w:cs="宋体"/>
                <w:color w:val="auto"/>
                <w:sz w:val="24"/>
                <w:highlight w:val="none"/>
              </w:rPr>
            </w:pPr>
          </w:p>
        </w:tc>
        <w:tc>
          <w:tcPr>
            <w:tcW w:w="2613" w:type="dxa"/>
            <w:vAlign w:val="center"/>
          </w:tcPr>
          <w:p w14:paraId="7BD38A20">
            <w:pPr>
              <w:jc w:val="center"/>
              <w:rPr>
                <w:rFonts w:hint="eastAsia" w:ascii="宋体" w:hAnsi="宋体" w:eastAsia="宋体" w:cs="宋体"/>
                <w:color w:val="auto"/>
                <w:sz w:val="24"/>
                <w:highlight w:val="none"/>
              </w:rPr>
            </w:pPr>
          </w:p>
        </w:tc>
        <w:tc>
          <w:tcPr>
            <w:tcW w:w="1237" w:type="dxa"/>
            <w:vAlign w:val="center"/>
          </w:tcPr>
          <w:p w14:paraId="2DA40DC8">
            <w:pPr>
              <w:jc w:val="center"/>
              <w:rPr>
                <w:rFonts w:hint="eastAsia" w:ascii="宋体" w:hAnsi="宋体" w:eastAsia="宋体" w:cs="宋体"/>
                <w:color w:val="auto"/>
                <w:sz w:val="24"/>
                <w:highlight w:val="none"/>
              </w:rPr>
            </w:pPr>
          </w:p>
        </w:tc>
        <w:tc>
          <w:tcPr>
            <w:tcW w:w="1200" w:type="dxa"/>
            <w:vAlign w:val="center"/>
          </w:tcPr>
          <w:p w14:paraId="527CA5E3">
            <w:pPr>
              <w:jc w:val="center"/>
              <w:rPr>
                <w:rFonts w:hint="eastAsia" w:ascii="宋体" w:hAnsi="宋体" w:eastAsia="宋体" w:cs="宋体"/>
                <w:color w:val="auto"/>
                <w:sz w:val="24"/>
                <w:highlight w:val="none"/>
              </w:rPr>
            </w:pPr>
          </w:p>
        </w:tc>
        <w:tc>
          <w:tcPr>
            <w:tcW w:w="1146" w:type="dxa"/>
            <w:vAlign w:val="center"/>
          </w:tcPr>
          <w:p w14:paraId="7E39C158">
            <w:pPr>
              <w:jc w:val="center"/>
              <w:rPr>
                <w:rFonts w:hint="eastAsia" w:ascii="宋体" w:hAnsi="宋体" w:eastAsia="宋体" w:cs="宋体"/>
                <w:color w:val="auto"/>
                <w:sz w:val="24"/>
                <w:highlight w:val="none"/>
              </w:rPr>
            </w:pPr>
          </w:p>
        </w:tc>
      </w:tr>
      <w:tr w14:paraId="0E62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760" w:type="dxa"/>
            <w:vAlign w:val="center"/>
          </w:tcPr>
          <w:p w14:paraId="01CF91EA">
            <w:pPr>
              <w:jc w:val="center"/>
              <w:rPr>
                <w:rFonts w:hint="eastAsia" w:ascii="宋体" w:hAnsi="宋体" w:eastAsia="宋体" w:cs="宋体"/>
                <w:color w:val="auto"/>
                <w:sz w:val="24"/>
                <w:highlight w:val="none"/>
              </w:rPr>
            </w:pPr>
          </w:p>
        </w:tc>
        <w:tc>
          <w:tcPr>
            <w:tcW w:w="1275" w:type="dxa"/>
            <w:vAlign w:val="center"/>
          </w:tcPr>
          <w:p w14:paraId="4C588B16">
            <w:pPr>
              <w:jc w:val="center"/>
              <w:rPr>
                <w:rFonts w:hint="eastAsia" w:ascii="宋体" w:hAnsi="宋体" w:eastAsia="宋体" w:cs="宋体"/>
                <w:color w:val="auto"/>
                <w:sz w:val="24"/>
                <w:highlight w:val="none"/>
              </w:rPr>
            </w:pPr>
          </w:p>
        </w:tc>
        <w:tc>
          <w:tcPr>
            <w:tcW w:w="2613" w:type="dxa"/>
            <w:vAlign w:val="center"/>
          </w:tcPr>
          <w:p w14:paraId="4D59E623">
            <w:pPr>
              <w:jc w:val="center"/>
              <w:rPr>
                <w:rFonts w:hint="eastAsia" w:ascii="宋体" w:hAnsi="宋体" w:eastAsia="宋体" w:cs="宋体"/>
                <w:color w:val="auto"/>
                <w:sz w:val="24"/>
                <w:highlight w:val="none"/>
              </w:rPr>
            </w:pPr>
          </w:p>
        </w:tc>
        <w:tc>
          <w:tcPr>
            <w:tcW w:w="1237" w:type="dxa"/>
            <w:vAlign w:val="center"/>
          </w:tcPr>
          <w:p w14:paraId="3B533C0D">
            <w:pPr>
              <w:jc w:val="center"/>
              <w:rPr>
                <w:rFonts w:hint="eastAsia" w:ascii="宋体" w:hAnsi="宋体" w:eastAsia="宋体" w:cs="宋体"/>
                <w:color w:val="auto"/>
                <w:sz w:val="24"/>
                <w:highlight w:val="none"/>
              </w:rPr>
            </w:pPr>
          </w:p>
        </w:tc>
        <w:tc>
          <w:tcPr>
            <w:tcW w:w="1200" w:type="dxa"/>
            <w:vAlign w:val="center"/>
          </w:tcPr>
          <w:p w14:paraId="1F23C5BD">
            <w:pPr>
              <w:jc w:val="center"/>
              <w:rPr>
                <w:rFonts w:hint="eastAsia" w:ascii="宋体" w:hAnsi="宋体" w:eastAsia="宋体" w:cs="宋体"/>
                <w:color w:val="auto"/>
                <w:sz w:val="24"/>
                <w:highlight w:val="none"/>
              </w:rPr>
            </w:pPr>
          </w:p>
        </w:tc>
        <w:tc>
          <w:tcPr>
            <w:tcW w:w="1146" w:type="dxa"/>
            <w:vAlign w:val="center"/>
          </w:tcPr>
          <w:p w14:paraId="63C827F0">
            <w:pPr>
              <w:jc w:val="center"/>
              <w:rPr>
                <w:rFonts w:hint="eastAsia" w:ascii="宋体" w:hAnsi="宋体" w:eastAsia="宋体" w:cs="宋体"/>
                <w:color w:val="auto"/>
                <w:sz w:val="24"/>
                <w:highlight w:val="none"/>
              </w:rPr>
            </w:pPr>
          </w:p>
        </w:tc>
      </w:tr>
      <w:tr w14:paraId="36A4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60" w:type="dxa"/>
            <w:vAlign w:val="center"/>
          </w:tcPr>
          <w:p w14:paraId="13D4B447">
            <w:pPr>
              <w:jc w:val="center"/>
              <w:rPr>
                <w:rFonts w:hint="eastAsia" w:ascii="宋体" w:hAnsi="宋体" w:eastAsia="宋体" w:cs="宋体"/>
                <w:color w:val="auto"/>
                <w:sz w:val="24"/>
                <w:highlight w:val="none"/>
              </w:rPr>
            </w:pPr>
          </w:p>
        </w:tc>
        <w:tc>
          <w:tcPr>
            <w:tcW w:w="1275" w:type="dxa"/>
            <w:vAlign w:val="center"/>
          </w:tcPr>
          <w:p w14:paraId="2D978530">
            <w:pPr>
              <w:jc w:val="center"/>
              <w:rPr>
                <w:rFonts w:hint="eastAsia" w:ascii="宋体" w:hAnsi="宋体" w:eastAsia="宋体" w:cs="宋体"/>
                <w:color w:val="auto"/>
                <w:sz w:val="24"/>
                <w:highlight w:val="none"/>
              </w:rPr>
            </w:pPr>
          </w:p>
        </w:tc>
        <w:tc>
          <w:tcPr>
            <w:tcW w:w="2613" w:type="dxa"/>
            <w:vAlign w:val="center"/>
          </w:tcPr>
          <w:p w14:paraId="47EDBA42">
            <w:pPr>
              <w:jc w:val="center"/>
              <w:rPr>
                <w:rFonts w:hint="eastAsia" w:ascii="宋体" w:hAnsi="宋体" w:eastAsia="宋体" w:cs="宋体"/>
                <w:color w:val="auto"/>
                <w:sz w:val="24"/>
                <w:highlight w:val="none"/>
              </w:rPr>
            </w:pPr>
          </w:p>
        </w:tc>
        <w:tc>
          <w:tcPr>
            <w:tcW w:w="1237" w:type="dxa"/>
            <w:vAlign w:val="center"/>
          </w:tcPr>
          <w:p w14:paraId="68BB3DC7">
            <w:pPr>
              <w:jc w:val="center"/>
              <w:rPr>
                <w:rFonts w:hint="eastAsia" w:ascii="宋体" w:hAnsi="宋体" w:eastAsia="宋体" w:cs="宋体"/>
                <w:color w:val="auto"/>
                <w:sz w:val="24"/>
                <w:highlight w:val="none"/>
              </w:rPr>
            </w:pPr>
          </w:p>
        </w:tc>
        <w:tc>
          <w:tcPr>
            <w:tcW w:w="1200" w:type="dxa"/>
            <w:vAlign w:val="center"/>
          </w:tcPr>
          <w:p w14:paraId="39B77D07">
            <w:pPr>
              <w:jc w:val="center"/>
              <w:rPr>
                <w:rFonts w:hint="eastAsia" w:ascii="宋体" w:hAnsi="宋体" w:eastAsia="宋体" w:cs="宋体"/>
                <w:color w:val="auto"/>
                <w:sz w:val="24"/>
                <w:highlight w:val="none"/>
              </w:rPr>
            </w:pPr>
          </w:p>
        </w:tc>
        <w:tc>
          <w:tcPr>
            <w:tcW w:w="1146" w:type="dxa"/>
            <w:vAlign w:val="center"/>
          </w:tcPr>
          <w:p w14:paraId="7E90CC20">
            <w:pPr>
              <w:jc w:val="center"/>
              <w:rPr>
                <w:rFonts w:hint="eastAsia" w:ascii="宋体" w:hAnsi="宋体" w:eastAsia="宋体" w:cs="宋体"/>
                <w:color w:val="auto"/>
                <w:sz w:val="24"/>
                <w:highlight w:val="none"/>
              </w:rPr>
            </w:pPr>
          </w:p>
        </w:tc>
      </w:tr>
    </w:tbl>
    <w:p w14:paraId="2F31F63D">
      <w:pPr>
        <w:widowControl/>
        <w:spacing w:line="360" w:lineRule="auto"/>
        <w:rPr>
          <w:rFonts w:hint="eastAsia" w:ascii="宋体" w:hAnsi="宋体" w:eastAsia="宋体" w:cs="宋体"/>
          <w:b/>
          <w:color w:val="auto"/>
          <w:kern w:val="0"/>
          <w:sz w:val="32"/>
          <w:szCs w:val="32"/>
          <w:highlight w:val="none"/>
        </w:rPr>
      </w:pPr>
    </w:p>
    <w:p w14:paraId="520FB94C">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（四）后续采购情况</w:t>
      </w:r>
    </w:p>
    <w:p w14:paraId="07AC728C">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1.可能涉及的运行维护、升级更新、备品备件、耗材等情况：</w:t>
      </w:r>
    </w:p>
    <w:p w14:paraId="2E13EA56">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填写</w:t>
      </w:r>
      <w:r>
        <w:rPr>
          <w:rFonts w:hint="eastAsia" w:ascii="宋体" w:hAnsi="宋体" w:eastAsia="宋体" w:cs="宋体"/>
          <w:color w:val="auto"/>
          <w:sz w:val="32"/>
          <w:szCs w:val="32"/>
          <w:highlight w:val="none"/>
          <w:lang w:eastAsia="zh-CN"/>
        </w:rPr>
        <w:t>社会工作服务</w:t>
      </w:r>
      <w:r>
        <w:rPr>
          <w:rFonts w:hint="eastAsia" w:ascii="宋体" w:hAnsi="宋体" w:eastAsia="宋体" w:cs="宋体"/>
          <w:color w:val="auto"/>
          <w:sz w:val="32"/>
          <w:szCs w:val="32"/>
          <w:highlight w:val="none"/>
          <w:lang w:val="en-US" w:eastAsia="zh-CN"/>
        </w:rPr>
        <w:t>涉及的日常耗材、技术系统等情况</w:t>
      </w:r>
      <w:r>
        <w:rPr>
          <w:rFonts w:hint="eastAsia" w:ascii="宋体" w:hAnsi="宋体" w:eastAsia="宋体" w:cs="宋体"/>
          <w:color w:val="auto"/>
          <w:sz w:val="32"/>
          <w:szCs w:val="32"/>
          <w:highlight w:val="none"/>
          <w:lang w:eastAsia="zh-CN"/>
        </w:rPr>
        <w:t>）</w:t>
      </w:r>
    </w:p>
    <w:p w14:paraId="2CE63DB1">
      <w:pPr>
        <w:rPr>
          <w:rFonts w:hint="eastAsia" w:ascii="宋体" w:hAnsi="宋体" w:eastAsia="宋体" w:cs="宋体"/>
          <w:color w:val="auto"/>
          <w:sz w:val="32"/>
          <w:szCs w:val="32"/>
          <w:highlight w:val="none"/>
        </w:rPr>
      </w:pPr>
    </w:p>
    <w:p w14:paraId="03F93406">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（五）其他情况</w:t>
      </w:r>
    </w:p>
    <w:p w14:paraId="78F56CF9">
      <w:pPr>
        <w:widowControl/>
        <w:spacing w:line="360" w:lineRule="auto"/>
        <w:rPr>
          <w:rFonts w:hint="eastAsia" w:ascii="宋体" w:hAnsi="宋体" w:eastAsia="宋体" w:cs="宋体"/>
          <w:b/>
          <w:color w:val="auto"/>
          <w:kern w:val="0"/>
          <w:sz w:val="32"/>
          <w:szCs w:val="32"/>
          <w:highlight w:val="none"/>
          <w:lang w:val="en-US" w:eastAsia="zh-CN"/>
        </w:rPr>
      </w:pPr>
    </w:p>
    <w:p w14:paraId="00979E50">
      <w:pPr>
        <w:widowControl/>
        <w:spacing w:line="360" w:lineRule="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（六）供应商所属行业</w:t>
      </w:r>
    </w:p>
    <w:p w14:paraId="17076CC5">
      <w:pPr>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依据《关于印发中小企业划型标准规定的通知》(工信部联企业(2011〕300号)文件规定，受调查的单位（企业）所属行业:</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（本项目所属行业为“其他未列明行业”）</w:t>
      </w:r>
      <w:r>
        <w:rPr>
          <w:rFonts w:hint="eastAsia" w:ascii="宋体" w:hAnsi="宋体" w:eastAsia="宋体" w:cs="宋体"/>
          <w:color w:val="auto"/>
          <w:sz w:val="32"/>
          <w:szCs w:val="32"/>
          <w:highlight w:val="none"/>
          <w:lang w:val="en-US" w:eastAsia="zh-CN"/>
        </w:rPr>
        <w:t>，属于</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（大型/中型/</w:t>
      </w:r>
      <w:r>
        <w:rPr>
          <w:rFonts w:hint="eastAsia" w:ascii="宋体" w:hAnsi="宋体" w:eastAsia="宋体" w:cs="宋体"/>
          <w:color w:val="auto"/>
          <w:sz w:val="32"/>
          <w:szCs w:val="32"/>
          <w:highlight w:val="none"/>
          <w:lang w:val="en-US" w:eastAsia="zh-CN"/>
        </w:rPr>
        <w:t>小型/微型）企业。</w:t>
      </w:r>
    </w:p>
    <w:p w14:paraId="229CCB8F">
      <w:pPr>
        <w:rPr>
          <w:rFonts w:hint="eastAsia" w:ascii="宋体" w:hAnsi="宋体" w:eastAsia="宋体" w:cs="宋体"/>
          <w:color w:val="auto"/>
          <w:spacing w:val="12"/>
          <w:highlight w:val="none"/>
          <w:lang w:val="en-US" w:eastAsia="zh-CN"/>
        </w:rPr>
      </w:pPr>
    </w:p>
    <w:p w14:paraId="4D31F131">
      <w:pPr>
        <w:rPr>
          <w:rFonts w:hint="eastAsia" w:ascii="宋体" w:hAnsi="宋体" w:eastAsia="宋体" w:cs="宋体"/>
          <w:color w:val="auto"/>
          <w:spacing w:val="12"/>
          <w:highlight w:val="none"/>
          <w:lang w:val="en-US" w:eastAsia="zh-CN"/>
        </w:rPr>
      </w:pPr>
      <w:r>
        <w:rPr>
          <w:rFonts w:hint="eastAsia" w:ascii="宋体" w:hAnsi="宋体" w:eastAsia="宋体" w:cs="宋体"/>
          <w:color w:val="auto"/>
          <w:spacing w:val="12"/>
          <w:highlight w:val="none"/>
          <w:lang w:val="en-US" w:eastAsia="zh-CN"/>
        </w:rPr>
        <w:br w:type="page"/>
      </w:r>
    </w:p>
    <w:p w14:paraId="09DD3546">
      <w:pPr>
        <w:pStyle w:val="2"/>
        <w:spacing w:before="0" w:line="360" w:lineRule="auto"/>
        <w:ind w:left="5196" w:leftChars="0" w:right="106" w:rightChars="0" w:hanging="5196" w:hangingChars="1703"/>
        <w:contextualSpacing/>
        <w:rPr>
          <w:rFonts w:hint="eastAsia" w:ascii="宋体" w:hAnsi="宋体" w:eastAsia="宋体" w:cs="宋体"/>
          <w:color w:val="auto"/>
          <w:spacing w:val="12"/>
          <w:sz w:val="28"/>
          <w:szCs w:val="28"/>
          <w:highlight w:val="none"/>
        </w:rPr>
      </w:pPr>
      <w:r>
        <w:rPr>
          <w:rFonts w:hint="eastAsia" w:ascii="宋体" w:hAnsi="宋体" w:eastAsia="宋体" w:cs="宋体"/>
          <w:color w:val="auto"/>
          <w:spacing w:val="12"/>
          <w:sz w:val="28"/>
          <w:szCs w:val="28"/>
          <w:highlight w:val="none"/>
          <w:lang w:val="en-US" w:eastAsia="zh-CN"/>
        </w:rPr>
        <w:t>附件二：</w:t>
      </w:r>
      <w:r>
        <w:rPr>
          <w:rFonts w:hint="eastAsia" w:ascii="宋体" w:hAnsi="宋体" w:eastAsia="宋体" w:cs="宋体"/>
          <w:color w:val="auto"/>
          <w:spacing w:val="12"/>
          <w:sz w:val="28"/>
          <w:szCs w:val="28"/>
          <w:highlight w:val="none"/>
        </w:rPr>
        <w:t xml:space="preserve"> 采购需求</w:t>
      </w:r>
    </w:p>
    <w:p w14:paraId="3440AD4B">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项目概况</w:t>
      </w:r>
    </w:p>
    <w:p w14:paraId="075598C6">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松山湖购买社会工作专业化服务是对松山湖辖区内的党群组织，以及党员、群众、职工、青年、妇女、儿童、志愿者等提供党务、政务、居务、社务等服务。</w:t>
      </w:r>
    </w:p>
    <w:p w14:paraId="2FED6311">
      <w:pPr>
        <w:pStyle w:val="5"/>
        <w:keepNext w:val="0"/>
        <w:keepLines w:val="0"/>
        <w:pageBreakBefore w:val="0"/>
        <w:widowControl w:val="0"/>
        <w:kinsoku/>
        <w:wordWrap/>
        <w:overflowPunct/>
        <w:topLinePunct w:val="0"/>
        <w:autoSpaceDE/>
        <w:autoSpaceDN/>
        <w:bidi w:val="0"/>
        <w:snapToGrid w:val="0"/>
        <w:spacing w:after="0" w:line="360" w:lineRule="auto"/>
        <w:textAlignment w:val="auto"/>
        <w:rPr>
          <w:rFonts w:hint="eastAsia" w:ascii="宋体" w:hAnsi="宋体" w:eastAsia="宋体" w:cs="宋体"/>
          <w:color w:val="auto"/>
          <w:sz w:val="21"/>
          <w:szCs w:val="21"/>
          <w:highlight w:val="none"/>
          <w:lang w:val="en-US" w:eastAsia="zh-CN"/>
        </w:rPr>
      </w:pPr>
    </w:p>
    <w:p w14:paraId="4E0BF41E">
      <w:pPr>
        <w:pStyle w:val="9"/>
        <w:keepNext w:val="0"/>
        <w:keepLines w:val="0"/>
        <w:pageBreakBefore w:val="0"/>
        <w:widowControl w:val="0"/>
        <w:kinsoku/>
        <w:wordWrap/>
        <w:overflowPunct/>
        <w:topLinePunct w:val="0"/>
        <w:autoSpaceDE/>
        <w:autoSpaceDN/>
        <w:bidi w:val="0"/>
        <w:snapToGrid w:val="0"/>
        <w:spacing w:after="0" w:line="360" w:lineRule="auto"/>
        <w:ind w:left="0" w:leftChars="0"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主要商务需求</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3"/>
        <w:gridCol w:w="1512"/>
        <w:gridCol w:w="6204"/>
      </w:tblGrid>
      <w:tr w14:paraId="10DFD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71" w:type="pct"/>
            <w:noWrap w:val="0"/>
            <w:vAlign w:val="center"/>
          </w:tcPr>
          <w:p w14:paraId="2846A09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87" w:type="pct"/>
            <w:noWrap w:val="0"/>
            <w:vAlign w:val="center"/>
          </w:tcPr>
          <w:p w14:paraId="7952BF4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条款名称</w:t>
            </w:r>
          </w:p>
        </w:tc>
        <w:tc>
          <w:tcPr>
            <w:tcW w:w="3640" w:type="pct"/>
            <w:noWrap w:val="0"/>
            <w:vAlign w:val="center"/>
          </w:tcPr>
          <w:p w14:paraId="6F3E108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  明</w:t>
            </w:r>
          </w:p>
        </w:tc>
      </w:tr>
      <w:tr w14:paraId="6AF72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71" w:type="pct"/>
            <w:noWrap w:val="0"/>
            <w:vAlign w:val="center"/>
          </w:tcPr>
          <w:p w14:paraId="234AEF7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87" w:type="pct"/>
            <w:noWrap w:val="0"/>
            <w:vAlign w:val="center"/>
          </w:tcPr>
          <w:p w14:paraId="6752461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标的提供时间</w:t>
            </w:r>
          </w:p>
        </w:tc>
        <w:tc>
          <w:tcPr>
            <w:tcW w:w="3640" w:type="pct"/>
            <w:noWrap w:val="0"/>
            <w:vAlign w:val="center"/>
          </w:tcPr>
          <w:p w14:paraId="0D94DC7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TW" w:eastAsia="zh-TW"/>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TW" w:eastAsia="zh-TW"/>
              </w:rPr>
              <w:t>年2月1日至202</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zh-TW" w:eastAsia="zh-TW"/>
              </w:rPr>
              <w:t>年1月31日。</w:t>
            </w:r>
          </w:p>
        </w:tc>
      </w:tr>
      <w:tr w14:paraId="0E6248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71" w:type="pct"/>
            <w:noWrap w:val="0"/>
            <w:vAlign w:val="center"/>
          </w:tcPr>
          <w:p w14:paraId="1A66A58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887" w:type="pct"/>
            <w:noWrap w:val="0"/>
            <w:vAlign w:val="center"/>
          </w:tcPr>
          <w:p w14:paraId="25F4FB1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标的提供的地点</w:t>
            </w:r>
          </w:p>
        </w:tc>
        <w:tc>
          <w:tcPr>
            <w:tcW w:w="3640" w:type="pct"/>
            <w:noWrap w:val="0"/>
            <w:vAlign w:val="center"/>
          </w:tcPr>
          <w:p w14:paraId="7F0CC1F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东莞市松山湖</w:t>
            </w:r>
            <w:r>
              <w:rPr>
                <w:rFonts w:hint="eastAsia" w:ascii="宋体" w:hAnsi="宋体" w:eastAsia="宋体" w:cs="宋体"/>
                <w:color w:val="auto"/>
                <w:sz w:val="21"/>
                <w:szCs w:val="21"/>
                <w:highlight w:val="none"/>
              </w:rPr>
              <w:t>采购人指定的地点。</w:t>
            </w:r>
          </w:p>
        </w:tc>
      </w:tr>
      <w:tr w14:paraId="04C82A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71" w:type="pct"/>
            <w:noWrap w:val="0"/>
            <w:vAlign w:val="center"/>
          </w:tcPr>
          <w:p w14:paraId="38E7CE7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887" w:type="pct"/>
            <w:noWrap w:val="0"/>
            <w:vAlign w:val="center"/>
          </w:tcPr>
          <w:p w14:paraId="5A0E726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3640" w:type="pct"/>
            <w:noWrap w:val="0"/>
            <w:vAlign w:val="center"/>
          </w:tcPr>
          <w:p w14:paraId="1DF9A4F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采购人在中标人开始履行合同后分九期向中标人支付服务费用，具体如下：签订合同后，采购人向中标人支付运营服务总费用的20%；中标人运营本项目并经采购人验收合格后，采购人每季度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共8个季度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的最后一个月份向中标人支付合同金额的10%作为当季度的运营费用。</w:t>
            </w:r>
          </w:p>
          <w:p w14:paraId="6C23AB9F">
            <w:pPr>
              <w:pStyle w:val="5"/>
              <w:keepNext w:val="0"/>
              <w:keepLines w:val="0"/>
              <w:pageBreakBefore w:val="0"/>
              <w:widowControl w:val="0"/>
              <w:kinsoku/>
              <w:wordWrap/>
              <w:overflowPunct/>
              <w:topLinePunct w:val="0"/>
              <w:autoSpaceDE/>
              <w:autoSpaceDN/>
              <w:bidi w:val="0"/>
              <w:snapToGrid w:val="0"/>
              <w:spacing w:after="0" w:line="360" w:lineRule="auto"/>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1）中标人需向采购人提出请款申请及所需的材料和等额合法有效发票。本合同的经费由政府拨款，如因政策影响，拨款未能及时到位，中标人不得以此为由而不履行本合同规定的义务。否则，采购人按规定扣罚。如果中标人怠于或者拒绝提供资料或者办理手续的，则因此产生的付款迟延的责任全部由中标人承担；</w:t>
            </w:r>
          </w:p>
          <w:p w14:paraId="254D8C05">
            <w:pPr>
              <w:pStyle w:val="5"/>
              <w:keepNext w:val="0"/>
              <w:keepLines w:val="0"/>
              <w:pageBreakBefore w:val="0"/>
              <w:widowControl w:val="0"/>
              <w:kinsoku/>
              <w:wordWrap/>
              <w:overflowPunct/>
              <w:topLinePunct w:val="0"/>
              <w:autoSpaceDE/>
              <w:autoSpaceDN/>
              <w:bidi w:val="0"/>
              <w:snapToGrid w:val="0"/>
              <w:spacing w:after="0" w:line="360" w:lineRule="auto"/>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人属于财政支付，合同所指的付款时间为采购人向政府采购支付部门提出支付申请的时间（不含政府采购支付部门的审查时间和支付时间），采购人在合同约定时间内向财政申请付款即视为符合合同约定，最终以财政审核后实际付款时间为准，中标人不得以资金付款期限已过为由向采购人索赔或支付违约金。</w:t>
            </w:r>
          </w:p>
        </w:tc>
      </w:tr>
      <w:tr w14:paraId="6E7A19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71" w:type="pct"/>
            <w:noWrap w:val="0"/>
            <w:vAlign w:val="center"/>
          </w:tcPr>
          <w:p w14:paraId="36F1757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887" w:type="pct"/>
            <w:noWrap w:val="0"/>
            <w:vAlign w:val="center"/>
          </w:tcPr>
          <w:p w14:paraId="13E8826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验收要求</w:t>
            </w:r>
          </w:p>
        </w:tc>
        <w:tc>
          <w:tcPr>
            <w:tcW w:w="3640" w:type="pct"/>
            <w:noWrap w:val="0"/>
            <w:vAlign w:val="center"/>
          </w:tcPr>
          <w:p w14:paraId="28E1BA4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中标人双方应对派出社工定期进行服务评估考核。采购人每半年对中标人提供的社工进行服务评估考核（考核内容见附件1《社工服务评估考核评分表》）。在服务评估考核过程中（含试用期内），如中标人提供的社工提供的服务未能达到合格标准的（70分及以上），采购人有权要求中标人予以调换；</w:t>
            </w:r>
          </w:p>
          <w:p w14:paraId="0BF6F04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验收工作由采购人（或采购人指定的单位）和中标人共同进行。在验收时，中标人应向采购人提供服务的相关资料，按采购人提出的方式验收。每年由采购人和中标人组成联合考评小组或采购人每年邀请第三方评估机构对中标人提供的服务进行综合评估（考核内容见附件2《松山湖政府购买社工服务评估指标体系》）。在年度综合评估中，如中标人提供的服务未能达到合格标准或不能通过综合评估，采购人有权要求中标人予以及时调整工作方案或调换服务人员，且中标人应按当年度已付合同总金额的1%支付违约金；如两次评估考核仍未达到合格标准或不能通过评估考核，采购人有权提出更换中标人或不与中标人续签合同，同时中标人应按合同总金额的3%支付违约金。</w:t>
            </w:r>
          </w:p>
        </w:tc>
      </w:tr>
      <w:tr w14:paraId="61606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71" w:type="pct"/>
            <w:noWrap w:val="0"/>
            <w:vAlign w:val="center"/>
          </w:tcPr>
          <w:p w14:paraId="29FD90E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887" w:type="pct"/>
            <w:noWrap w:val="0"/>
            <w:vAlign w:val="center"/>
          </w:tcPr>
          <w:p w14:paraId="2FA94AA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3640" w:type="pct"/>
            <w:noWrap w:val="0"/>
            <w:vAlign w:val="center"/>
          </w:tcPr>
          <w:p w14:paraId="287738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收取比例：5%,说明：</w:t>
            </w:r>
          </w:p>
          <w:p w14:paraId="58D7F30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中标人领取中标通知书后十日内须递交履约保证金（如提交履约保函的，时间延至合同签订之前），履约保证金担保金额为中标价的5﹪，否则采购人可拒签采购合同。中标人应在汇入履约保证金时在汇款单备注中注明：项目编号。</w:t>
            </w:r>
          </w:p>
          <w:p w14:paraId="2D01F00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②履约保证金可以采用下列任何一种形式：</w:t>
            </w:r>
          </w:p>
          <w:p w14:paraId="0B5442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（1）履约保函：履约保函应是合法经营的金融机构或担保机构出具的保函。履约保函的内容应符合招标文件、投标文件和采购合同的要求。履约保函应在采购合同有效期满后28天内继续有效。</w:t>
            </w:r>
          </w:p>
          <w:p w14:paraId="4FD345E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（2）采用保证金（银行转账、电汇）方式：中标人必须保证资金在签订合同前到账（在发出中标通知书后的十个日历日内，以银行收到为准）。履约保证金账户采购人另行通知，到期后无息退还。</w:t>
            </w:r>
          </w:p>
          <w:p w14:paraId="25910A6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履约保证金退回：履约保证金在项目验收合格后，中标人向采购人提交退回履约保证金的申请（格式自拟）、履约保证金汇款凭证复印件、采购合同、采购项目验收报告原件、中标通知书复印件，前往采购人办理履约保证金退还手续。</w:t>
            </w:r>
          </w:p>
          <w:p w14:paraId="5B33F6C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④发生下列情况之一的，履约保证金将被没收：</w:t>
            </w:r>
          </w:p>
          <w:p w14:paraId="7F75B2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（1）中标人将本项目转让给他人，或者在投标文件中未说明，且未经采购人同意，将成交项目分包给他人的，采购人可依法没收其履约保证金；</w:t>
            </w:r>
          </w:p>
          <w:p w14:paraId="2A49455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（2）中标人在履行采购合同期间，违反有关法律法规的规定及合同约定的条款，损害了采购人的利益，采购人可依法没收其履约保证金。</w:t>
            </w:r>
          </w:p>
        </w:tc>
      </w:tr>
      <w:tr w14:paraId="102127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71" w:type="pct"/>
            <w:noWrap w:val="0"/>
            <w:vAlign w:val="center"/>
          </w:tcPr>
          <w:p w14:paraId="706A2D4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887" w:type="pct"/>
            <w:noWrap w:val="0"/>
            <w:vAlign w:val="center"/>
          </w:tcPr>
          <w:p w14:paraId="73FD5D5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3640" w:type="pct"/>
            <w:noWrap w:val="0"/>
            <w:vAlign w:val="center"/>
          </w:tcPr>
          <w:p w14:paraId="0845B183">
            <w:pPr>
              <w:keepNext w:val="0"/>
              <w:keepLines w:val="0"/>
              <w:pageBreakBefore w:val="0"/>
              <w:widowControl w:val="0"/>
              <w:kinsoku/>
              <w:wordWrap/>
              <w:overflowPunct/>
              <w:topLinePunct w:val="0"/>
              <w:autoSpaceDE/>
              <w:autoSpaceDN/>
              <w:bidi w:val="0"/>
              <w:adjustRightInd w:val="0"/>
              <w:snapToGrid w:val="0"/>
              <w:spacing w:line="360" w:lineRule="auto"/>
              <w:ind w:right="23"/>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一．报价内容：</w:t>
            </w:r>
          </w:p>
          <w:p w14:paraId="481C2DB9">
            <w:pPr>
              <w:keepNext w:val="0"/>
              <w:keepLines w:val="0"/>
              <w:pageBreakBefore w:val="0"/>
              <w:widowControl w:val="0"/>
              <w:kinsoku/>
              <w:wordWrap/>
              <w:overflowPunct/>
              <w:topLinePunct w:val="0"/>
              <w:autoSpaceDE/>
              <w:autoSpaceDN/>
              <w:bidi w:val="0"/>
              <w:adjustRightInd w:val="0"/>
              <w:snapToGrid w:val="0"/>
              <w:spacing w:line="360" w:lineRule="auto"/>
              <w:ind w:right="2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①投标报价应包含完成本次招标的全部费用，包括但不限于社工人员人力成本、服务活动成本、管理成本等所有费用。 按照《东莞市政府购买社会工作服务实施办法》东府办[2021]8号文件精神，项目总经费按照业务活动成本不低于86%（人力成本不低于83%、服务活动成本约3%）、管理成本不高于14%的比例编制。其中，项目预算的人力成本须用于人员人力成本支出，包含人员薪酬（含五险一金）、绩效、补贴等费用；服务活动成本包含服务费、交通费等一切服务过程中所产生的费用；管理成本不得超过项目预算的14%，包含税务费、机构管理费用、合同实施过程中不可预见的其他费用。②投标人所报的投标价在合同执行期间是固定不变的，不得以任何理由予以变更。</w:t>
            </w:r>
          </w:p>
          <w:p w14:paraId="37FE5300">
            <w:pPr>
              <w:keepNext w:val="0"/>
              <w:keepLines w:val="0"/>
              <w:pageBreakBefore w:val="0"/>
              <w:widowControl w:val="0"/>
              <w:kinsoku/>
              <w:wordWrap/>
              <w:overflowPunct/>
              <w:topLinePunct w:val="0"/>
              <w:autoSpaceDE/>
              <w:autoSpaceDN/>
              <w:bidi w:val="0"/>
              <w:adjustRightInd w:val="0"/>
              <w:snapToGrid w:val="0"/>
              <w:spacing w:line="360" w:lineRule="auto"/>
              <w:ind w:right="23"/>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二．投标人实质响应合同各条款。</w:t>
            </w:r>
          </w:p>
        </w:tc>
      </w:tr>
    </w:tbl>
    <w:p w14:paraId="132F251F">
      <w:pPr>
        <w:pStyle w:val="10"/>
        <w:keepNext w:val="0"/>
        <w:keepLines w:val="0"/>
        <w:pageBreakBefore w:val="0"/>
        <w:widowControl w:val="0"/>
        <w:kinsoku/>
        <w:wordWrap/>
        <w:overflowPunct/>
        <w:topLinePunct w:val="0"/>
        <w:autoSpaceDE/>
        <w:autoSpaceDN/>
        <w:bidi w:val="0"/>
        <w:snapToGrid w:val="0"/>
        <w:spacing w:line="360" w:lineRule="auto"/>
        <w:ind w:left="0" w:leftChars="0" w:firstLine="0" w:firstLineChars="0"/>
        <w:textAlignment w:val="auto"/>
        <w:rPr>
          <w:rFonts w:hint="eastAsia" w:ascii="宋体" w:hAnsi="宋体" w:eastAsia="宋体" w:cs="宋体"/>
          <w:color w:val="auto"/>
          <w:sz w:val="21"/>
          <w:szCs w:val="21"/>
          <w:highlight w:val="none"/>
          <w:lang w:val="en-US" w:eastAsia="zh-CN"/>
        </w:rPr>
      </w:pPr>
    </w:p>
    <w:p w14:paraId="0C84E349">
      <w:pPr>
        <w:pStyle w:val="9"/>
        <w:keepNext w:val="0"/>
        <w:keepLines w:val="0"/>
        <w:pageBreakBefore w:val="0"/>
        <w:widowControl w:val="0"/>
        <w:kinsoku/>
        <w:wordWrap/>
        <w:overflowPunct/>
        <w:topLinePunct w:val="0"/>
        <w:autoSpaceDE/>
        <w:autoSpaceDN/>
        <w:bidi w:val="0"/>
        <w:snapToGrid w:val="0"/>
        <w:spacing w:after="0" w:line="360" w:lineRule="auto"/>
        <w:ind w:left="0" w:leftChars="0"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技术标准与要求</w:t>
      </w:r>
    </w:p>
    <w:tbl>
      <w:tblPr>
        <w:tblStyle w:val="12"/>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888"/>
        <w:gridCol w:w="1342"/>
        <w:gridCol w:w="627"/>
        <w:gridCol w:w="544"/>
        <w:gridCol w:w="1835"/>
        <w:gridCol w:w="1731"/>
        <w:gridCol w:w="981"/>
      </w:tblGrid>
      <w:tr w14:paraId="1EAE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11" w:type="dxa"/>
            <w:noWrap w:val="0"/>
            <w:vAlign w:val="center"/>
          </w:tcPr>
          <w:p w14:paraId="2DFC06E0">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88" w:type="dxa"/>
            <w:noWrap w:val="0"/>
            <w:vAlign w:val="center"/>
          </w:tcPr>
          <w:p w14:paraId="633517F5">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品目名称</w:t>
            </w:r>
          </w:p>
        </w:tc>
        <w:tc>
          <w:tcPr>
            <w:tcW w:w="1342" w:type="dxa"/>
            <w:noWrap w:val="0"/>
            <w:vAlign w:val="center"/>
          </w:tcPr>
          <w:p w14:paraId="1646E0AE">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627" w:type="dxa"/>
            <w:noWrap w:val="0"/>
            <w:vAlign w:val="center"/>
          </w:tcPr>
          <w:p w14:paraId="07011730">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544" w:type="dxa"/>
            <w:noWrap w:val="0"/>
            <w:vAlign w:val="center"/>
          </w:tcPr>
          <w:p w14:paraId="2C17B9F3">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835" w:type="dxa"/>
            <w:noWrap w:val="0"/>
            <w:vAlign w:val="center"/>
          </w:tcPr>
          <w:p w14:paraId="651BF245">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分项预算单价（元）</w:t>
            </w:r>
          </w:p>
        </w:tc>
        <w:tc>
          <w:tcPr>
            <w:tcW w:w="1731" w:type="dxa"/>
            <w:noWrap w:val="0"/>
            <w:vAlign w:val="center"/>
          </w:tcPr>
          <w:p w14:paraId="02A00894">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分项预算总价（元）</w:t>
            </w:r>
          </w:p>
        </w:tc>
        <w:tc>
          <w:tcPr>
            <w:tcW w:w="981" w:type="dxa"/>
            <w:noWrap w:val="0"/>
            <w:vAlign w:val="center"/>
          </w:tcPr>
          <w:p w14:paraId="3B1B44B3">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所属行业</w:t>
            </w:r>
          </w:p>
        </w:tc>
      </w:tr>
      <w:tr w14:paraId="4CD8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611" w:type="dxa"/>
            <w:noWrap w:val="0"/>
            <w:vAlign w:val="center"/>
          </w:tcPr>
          <w:p w14:paraId="36FBE0BB">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88" w:type="dxa"/>
            <w:noWrap w:val="0"/>
            <w:vAlign w:val="center"/>
          </w:tcPr>
          <w:p w14:paraId="674DFB78">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lang w:val="en-US" w:eastAsia="zh-CN"/>
              </w:rPr>
              <w:t>社会服务</w:t>
            </w:r>
          </w:p>
        </w:tc>
        <w:tc>
          <w:tcPr>
            <w:tcW w:w="1342" w:type="dxa"/>
            <w:noWrap w:val="0"/>
            <w:vAlign w:val="center"/>
          </w:tcPr>
          <w:p w14:paraId="404F6E71">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东莞松山湖购买社会工作专业化服务项目</w:t>
            </w:r>
          </w:p>
        </w:tc>
        <w:tc>
          <w:tcPr>
            <w:tcW w:w="627" w:type="dxa"/>
            <w:noWrap w:val="0"/>
            <w:vAlign w:val="center"/>
          </w:tcPr>
          <w:p w14:paraId="26855BAF">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w:t>
            </w:r>
          </w:p>
        </w:tc>
        <w:tc>
          <w:tcPr>
            <w:tcW w:w="544" w:type="dxa"/>
            <w:noWrap w:val="0"/>
            <w:vAlign w:val="center"/>
          </w:tcPr>
          <w:p w14:paraId="6B321136">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c>
          <w:tcPr>
            <w:tcW w:w="1835" w:type="dxa"/>
            <w:noWrap w:val="0"/>
            <w:vAlign w:val="center"/>
          </w:tcPr>
          <w:p w14:paraId="12F3513C">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10,728,000.00</w:t>
            </w:r>
          </w:p>
        </w:tc>
        <w:tc>
          <w:tcPr>
            <w:tcW w:w="1731" w:type="dxa"/>
            <w:noWrap w:val="0"/>
            <w:vAlign w:val="center"/>
          </w:tcPr>
          <w:p w14:paraId="5A76D4DC">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10,728,000.00</w:t>
            </w:r>
          </w:p>
        </w:tc>
        <w:tc>
          <w:tcPr>
            <w:tcW w:w="981" w:type="dxa"/>
            <w:noWrap w:val="0"/>
            <w:vAlign w:val="center"/>
          </w:tcPr>
          <w:p w14:paraId="3E57BE10">
            <w:pPr>
              <w:keepNext w:val="0"/>
              <w:keepLines w:val="0"/>
              <w:pageBreakBefore w:val="0"/>
              <w:wordWrap/>
              <w:overflowPunct/>
              <w:topLinePunct w:val="0"/>
              <w:bidi w:val="0"/>
              <w:adjustRightInd w:val="0"/>
              <w:snapToGrid w:val="0"/>
              <w:spacing w:line="360" w:lineRule="auto"/>
              <w:contextualSpacing/>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其他未列明行业</w:t>
            </w:r>
          </w:p>
        </w:tc>
      </w:tr>
    </w:tbl>
    <w:p w14:paraId="7A3E3D3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0"/>
        <w:textAlignment w:val="baseline"/>
        <w:rPr>
          <w:rFonts w:hint="eastAsia" w:ascii="宋体" w:hAnsi="宋体" w:eastAsia="宋体" w:cs="宋体"/>
          <w:color w:val="auto"/>
          <w:sz w:val="21"/>
          <w:szCs w:val="21"/>
          <w:highlight w:val="none"/>
          <w:lang w:eastAsia="zh-CN"/>
        </w:rPr>
      </w:pPr>
    </w:p>
    <w:p w14:paraId="1972A87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一、服务对象</w:t>
      </w:r>
    </w:p>
    <w:p w14:paraId="58B9333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松山湖高新区面积103平方公里，辖下4个片区，常住人口约</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rPr>
        <w:t>万人，其中户籍人口约</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万人。项目面向松山湖高新区各党群组织，以高新区党员、团员、职工、妇女、儿童、群众为服务对象</w:t>
      </w:r>
      <w:r>
        <w:rPr>
          <w:rFonts w:hint="eastAsia" w:ascii="宋体" w:hAnsi="宋体" w:eastAsia="宋体" w:cs="宋体"/>
          <w:color w:val="auto"/>
          <w:sz w:val="21"/>
          <w:szCs w:val="21"/>
          <w:highlight w:val="none"/>
          <w:lang w:eastAsia="zh-CN"/>
        </w:rPr>
        <w:t>。</w:t>
      </w:r>
    </w:p>
    <w:p w14:paraId="35D08CF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1"/>
          <w:szCs w:val="21"/>
          <w:highlight w:val="none"/>
          <w:lang w:val="en-US" w:eastAsia="zh-CN"/>
        </w:rPr>
      </w:pPr>
    </w:p>
    <w:p w14:paraId="2BEE13C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二、项目目标</w:t>
      </w:r>
    </w:p>
    <w:p w14:paraId="4768C6E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1、推广松山湖党建引领基层社会治理模式；</w:t>
      </w:r>
    </w:p>
    <w:p w14:paraId="55D1041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2、整合园区内社会资源力量，面向广大社群开展党建文化宣传、矛盾纠纷化解、社情民意联络、文体活动组织、法律政策咨询等，推动党建引领、党群融合共建。</w:t>
      </w:r>
    </w:p>
    <w:p w14:paraId="396D4D0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1"/>
          <w:szCs w:val="21"/>
          <w:highlight w:val="none"/>
          <w:lang w:val="en-US" w:eastAsia="zh-CN"/>
        </w:rPr>
      </w:pPr>
    </w:p>
    <w:p w14:paraId="5A9A857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三、服务重点</w:t>
      </w:r>
    </w:p>
    <w:p w14:paraId="02ABC43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聚焦党建服务。坚持把政治建设作为根本性建设，以片区党委为核心，做好片区内党组织和党员教育管理。加强区域化党建、两新党建、楼宇党建、居民区党建、楼组党建与阳光雨党群服务中心建设的互联互通。加强党的领导，推广“一核多元”的治理方式，发挥党委的领导核心作用，继续深化党建服务团队、党员志愿者工作室、党员志愿者主题实践活动，扩大基层党建的服务范围和社会影响力，打造品牌项目，发动区域单位主动承办或自主发起项目活动，动员园区各单位共同参与，形成共建共治共享的良好局面。</w:t>
      </w:r>
    </w:p>
    <w:p w14:paraId="6DF3726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聚焦群众需求。“满足人民日益增长的美好生活需要”是党群服务的出发点和落脚点，项目将探索建立供需对接机制，多为群众解难事、做实事；根据需求设计活动项目和菜单，提高服务和活动的延续性，让群众乐于参与、便于参与、勤于参与，提供群众的幸福感及获得感。</w:t>
      </w:r>
    </w:p>
    <w:p w14:paraId="12DA6AF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聚焦资源共享。一是由专业社工以开放共享为原则，形成资源统筹、联动支撑的运行机制，确保服务质量高效稳定。承接党建、工青妇等各条线、各部门的服务项目和活动，不断丰富服务供给，促进资源整合最大化、最优化，通过项目化的运行方式，精准化、专业化服务群众，实现日常服务就在身边，应急服务一键办成。</w:t>
      </w:r>
    </w:p>
    <w:p w14:paraId="02E6D59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1"/>
          <w:szCs w:val="21"/>
          <w:highlight w:val="none"/>
          <w:lang w:val="en-US" w:eastAsia="zh-CN"/>
        </w:rPr>
      </w:pPr>
    </w:p>
    <w:p w14:paraId="7E2257F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四、服务内容</w:t>
      </w:r>
    </w:p>
    <w:p w14:paraId="6455A2A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了解党的基本理论、路线、方针、政策，坚持以人民为中心，围绕阳光雨党群服务中心“阳光雨露、幸福你我”的服务宗旨开展工作；</w:t>
      </w:r>
    </w:p>
    <w:p w14:paraId="031A12E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熟悉基本党务知识，开展党团组织设置或变更、流动党、团员登记、党团组织关系接转、缴纳党、团费等日常工作，主动走访企业，为党团组织和党员、团员提供优质便捷的服务；</w:t>
      </w:r>
    </w:p>
    <w:p w14:paraId="656EA53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熟悉阳光雨党群服务中心的运作模式，能提供接待讲解服务、党内政治生活及群众性活动的组织策划和实施；</w:t>
      </w:r>
    </w:p>
    <w:p w14:paraId="640C373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了解园区政务服务、青年人才服务、社区服务、职工服务、妇女儿童服务、志愿者服务等相关政策，并提供相关政策咨询和服务指引；</w:t>
      </w:r>
    </w:p>
    <w:p w14:paraId="7AF6755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充分发挥阳光雨平台作用，组织党员与群众、居民互相进行学习、工作、思想和经验交流；</w:t>
      </w:r>
    </w:p>
    <w:p w14:paraId="2C145FF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根据各阳光雨党群服务中心不同的功能和作用，以及不同的工作时间要求，因地制宜开展工作；</w:t>
      </w:r>
    </w:p>
    <w:p w14:paraId="5BB2B72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完成党建工作办公室、流动党员服务中心、各片区党委交办的其他事项。</w:t>
      </w:r>
    </w:p>
    <w:p w14:paraId="4FE7C481">
      <w:pPr>
        <w:keepNext w:val="0"/>
        <w:keepLines w:val="0"/>
        <w:pageBreakBefore w:val="0"/>
        <w:wordWrap/>
        <w:overflowPunct/>
        <w:topLinePunct w:val="0"/>
        <w:bidi w:val="0"/>
        <w:adjustRightInd w:val="0"/>
        <w:snapToGrid w:val="0"/>
        <w:spacing w:line="360" w:lineRule="auto"/>
        <w:rPr>
          <w:rFonts w:hint="eastAsia" w:ascii="宋体" w:hAnsi="宋体" w:eastAsia="宋体" w:cs="宋体"/>
          <w:b/>
          <w:bCs/>
          <w:color w:val="auto"/>
          <w:sz w:val="21"/>
          <w:szCs w:val="21"/>
          <w:highlight w:val="none"/>
          <w:lang w:val="en-US" w:eastAsia="zh-CN"/>
        </w:rPr>
      </w:pPr>
    </w:p>
    <w:p w14:paraId="4591D9D9">
      <w:pPr>
        <w:keepNext w:val="0"/>
        <w:keepLines w:val="0"/>
        <w:pageBreakBefore w:val="0"/>
        <w:wordWrap/>
        <w:overflowPunct/>
        <w:topLinePunct w:val="0"/>
        <w:bidi w:val="0"/>
        <w:adjustRightInd w:val="0"/>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五、服务指标</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5243"/>
        <w:gridCol w:w="1428"/>
      </w:tblGrid>
      <w:tr w14:paraId="7E1E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5000" w:type="pct"/>
            <w:gridSpan w:val="3"/>
            <w:noWrap w:val="0"/>
            <w:vAlign w:val="center"/>
          </w:tcPr>
          <w:p w14:paraId="6570AC9C">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一、党群服务中心服务指标</w:t>
            </w:r>
          </w:p>
        </w:tc>
      </w:tr>
      <w:tr w14:paraId="3C77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86" w:type="pct"/>
            <w:noWrap w:val="0"/>
            <w:vAlign w:val="center"/>
          </w:tcPr>
          <w:p w14:paraId="0DC18206">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服务类型</w:t>
            </w:r>
          </w:p>
        </w:tc>
        <w:tc>
          <w:tcPr>
            <w:tcW w:w="3076" w:type="pct"/>
            <w:noWrap w:val="0"/>
            <w:vAlign w:val="center"/>
          </w:tcPr>
          <w:p w14:paraId="18597AB3">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tc>
        <w:tc>
          <w:tcPr>
            <w:tcW w:w="837" w:type="pct"/>
            <w:noWrap w:val="0"/>
            <w:vAlign w:val="center"/>
          </w:tcPr>
          <w:p w14:paraId="1CB33DA7">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服务指标</w:t>
            </w:r>
          </w:p>
        </w:tc>
      </w:tr>
      <w:tr w14:paraId="4E66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086" w:type="pct"/>
            <w:noWrap w:val="0"/>
            <w:vAlign w:val="center"/>
          </w:tcPr>
          <w:p w14:paraId="1C26F604">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1.需求调研</w:t>
            </w:r>
          </w:p>
        </w:tc>
        <w:tc>
          <w:tcPr>
            <w:tcW w:w="3076" w:type="pct"/>
            <w:noWrap w:val="0"/>
            <w:vAlign w:val="center"/>
          </w:tcPr>
          <w:p w14:paraId="25B03492">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开展服务对象需求调研</w:t>
            </w:r>
          </w:p>
        </w:tc>
        <w:tc>
          <w:tcPr>
            <w:tcW w:w="837" w:type="pct"/>
            <w:noWrap w:val="0"/>
            <w:vAlign w:val="center"/>
          </w:tcPr>
          <w:p w14:paraId="15599644">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1次</w:t>
            </w:r>
          </w:p>
        </w:tc>
      </w:tr>
      <w:tr w14:paraId="40CE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086" w:type="pct"/>
            <w:noWrap w:val="0"/>
            <w:vAlign w:val="center"/>
          </w:tcPr>
          <w:p w14:paraId="6D20058B">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2.工作计划</w:t>
            </w:r>
          </w:p>
        </w:tc>
        <w:tc>
          <w:tcPr>
            <w:tcW w:w="3076" w:type="pct"/>
            <w:noWrap w:val="0"/>
            <w:vAlign w:val="center"/>
          </w:tcPr>
          <w:p w14:paraId="22E7F33D">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服务计划</w:t>
            </w:r>
          </w:p>
        </w:tc>
        <w:tc>
          <w:tcPr>
            <w:tcW w:w="837" w:type="pct"/>
            <w:noWrap w:val="0"/>
            <w:vAlign w:val="center"/>
          </w:tcPr>
          <w:p w14:paraId="1A73B615">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1份</w:t>
            </w:r>
          </w:p>
        </w:tc>
      </w:tr>
      <w:tr w14:paraId="0A8D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086" w:type="pct"/>
            <w:noWrap w:val="0"/>
            <w:vAlign w:val="center"/>
          </w:tcPr>
          <w:p w14:paraId="772C4CFF">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3.工作总结</w:t>
            </w:r>
          </w:p>
        </w:tc>
        <w:tc>
          <w:tcPr>
            <w:tcW w:w="3076" w:type="pct"/>
            <w:noWrap w:val="0"/>
            <w:vAlign w:val="center"/>
          </w:tcPr>
          <w:p w14:paraId="108AF5F1">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半年度/年度总结报告</w:t>
            </w:r>
          </w:p>
        </w:tc>
        <w:tc>
          <w:tcPr>
            <w:tcW w:w="837" w:type="pct"/>
            <w:noWrap w:val="0"/>
            <w:vAlign w:val="center"/>
          </w:tcPr>
          <w:p w14:paraId="2A62210B">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各1份</w:t>
            </w:r>
          </w:p>
        </w:tc>
      </w:tr>
      <w:tr w14:paraId="6C22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086" w:type="pct"/>
            <w:vMerge w:val="restart"/>
            <w:noWrap w:val="0"/>
            <w:vAlign w:val="center"/>
          </w:tcPr>
          <w:p w14:paraId="094420C8">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4.组织生活类服务</w:t>
            </w:r>
          </w:p>
        </w:tc>
        <w:tc>
          <w:tcPr>
            <w:tcW w:w="3076" w:type="pct"/>
            <w:noWrap w:val="0"/>
            <w:vAlign w:val="center"/>
          </w:tcPr>
          <w:p w14:paraId="7712F53C">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开展党团组织设置或变更、流动党员、团员登记、党团组织关系接转、缴纳党团费等日常工作，主动走访企业，为党团组织和党员、团员提供优质便捷的服务</w:t>
            </w:r>
          </w:p>
        </w:tc>
        <w:tc>
          <w:tcPr>
            <w:tcW w:w="837" w:type="pct"/>
            <w:noWrap w:val="0"/>
            <w:vAlign w:val="center"/>
          </w:tcPr>
          <w:p w14:paraId="3461CF57">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根据需要</w:t>
            </w:r>
          </w:p>
        </w:tc>
      </w:tr>
      <w:tr w14:paraId="3D07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086" w:type="pct"/>
            <w:vMerge w:val="continue"/>
            <w:noWrap w:val="0"/>
            <w:vAlign w:val="center"/>
          </w:tcPr>
          <w:p w14:paraId="6B90B725">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462E3BAF">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党员、团员教育学习活动</w:t>
            </w:r>
          </w:p>
        </w:tc>
        <w:tc>
          <w:tcPr>
            <w:tcW w:w="837" w:type="pct"/>
            <w:noWrap w:val="0"/>
            <w:vAlign w:val="center"/>
          </w:tcPr>
          <w:p w14:paraId="1DF846E4">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40场/年</w:t>
            </w:r>
          </w:p>
        </w:tc>
      </w:tr>
      <w:tr w14:paraId="1EF8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86" w:type="pct"/>
            <w:vMerge w:val="restart"/>
            <w:noWrap w:val="0"/>
            <w:vAlign w:val="center"/>
          </w:tcPr>
          <w:p w14:paraId="70E26340">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5.人才服务类服务</w:t>
            </w:r>
          </w:p>
        </w:tc>
        <w:tc>
          <w:tcPr>
            <w:tcW w:w="3076" w:type="pct"/>
            <w:noWrap w:val="0"/>
            <w:vAlign w:val="center"/>
          </w:tcPr>
          <w:p w14:paraId="0CD6CEB8">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人才政策咨询/宣讲</w:t>
            </w:r>
          </w:p>
        </w:tc>
        <w:tc>
          <w:tcPr>
            <w:tcW w:w="837" w:type="pct"/>
            <w:noWrap w:val="0"/>
            <w:vAlign w:val="center"/>
          </w:tcPr>
          <w:p w14:paraId="4D805724">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场/年</w:t>
            </w:r>
          </w:p>
        </w:tc>
      </w:tr>
      <w:tr w14:paraId="7ABD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086" w:type="pct"/>
            <w:vMerge w:val="continue"/>
            <w:noWrap w:val="0"/>
            <w:vAlign w:val="center"/>
          </w:tcPr>
          <w:p w14:paraId="5ADB1BD5">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5879B6E4">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职业教育培训</w:t>
            </w:r>
          </w:p>
        </w:tc>
        <w:tc>
          <w:tcPr>
            <w:tcW w:w="837" w:type="pct"/>
            <w:noWrap w:val="0"/>
            <w:vAlign w:val="center"/>
          </w:tcPr>
          <w:p w14:paraId="79666FE8">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场/年</w:t>
            </w:r>
          </w:p>
        </w:tc>
      </w:tr>
      <w:tr w14:paraId="0FCE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86" w:type="pct"/>
            <w:vMerge w:val="restart"/>
            <w:noWrap w:val="0"/>
            <w:vAlign w:val="center"/>
          </w:tcPr>
          <w:p w14:paraId="64B98836">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6.文体生活类服务</w:t>
            </w:r>
          </w:p>
        </w:tc>
        <w:tc>
          <w:tcPr>
            <w:tcW w:w="3076" w:type="pct"/>
            <w:noWrap w:val="0"/>
            <w:vAlign w:val="center"/>
          </w:tcPr>
          <w:p w14:paraId="30BB7283">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居民活动</w:t>
            </w:r>
          </w:p>
        </w:tc>
        <w:tc>
          <w:tcPr>
            <w:tcW w:w="837" w:type="pct"/>
            <w:noWrap w:val="0"/>
            <w:vAlign w:val="center"/>
          </w:tcPr>
          <w:p w14:paraId="533A076F">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0场/年</w:t>
            </w:r>
          </w:p>
        </w:tc>
      </w:tr>
      <w:tr w14:paraId="6E9E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086" w:type="pct"/>
            <w:vMerge w:val="continue"/>
            <w:noWrap w:val="0"/>
            <w:vAlign w:val="center"/>
          </w:tcPr>
          <w:p w14:paraId="53227B74">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2C7222CC">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讲座</w:t>
            </w:r>
          </w:p>
        </w:tc>
        <w:tc>
          <w:tcPr>
            <w:tcW w:w="837" w:type="pct"/>
            <w:noWrap w:val="0"/>
            <w:vAlign w:val="center"/>
          </w:tcPr>
          <w:p w14:paraId="77BE17F0">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场/年</w:t>
            </w:r>
          </w:p>
        </w:tc>
      </w:tr>
      <w:tr w14:paraId="1104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086" w:type="pct"/>
            <w:vMerge w:val="continue"/>
            <w:noWrap w:val="0"/>
            <w:vAlign w:val="center"/>
          </w:tcPr>
          <w:p w14:paraId="29CE50B4">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2EF9BFF6">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沙龙/小组</w:t>
            </w:r>
          </w:p>
        </w:tc>
        <w:tc>
          <w:tcPr>
            <w:tcW w:w="837" w:type="pct"/>
            <w:noWrap w:val="0"/>
            <w:vAlign w:val="center"/>
          </w:tcPr>
          <w:p w14:paraId="15A0B6F4">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场/年</w:t>
            </w:r>
          </w:p>
        </w:tc>
      </w:tr>
      <w:tr w14:paraId="3B07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86" w:type="pct"/>
            <w:vMerge w:val="restart"/>
            <w:noWrap w:val="0"/>
            <w:vAlign w:val="center"/>
          </w:tcPr>
          <w:p w14:paraId="59793606">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7.社会治理类服务</w:t>
            </w:r>
          </w:p>
        </w:tc>
        <w:tc>
          <w:tcPr>
            <w:tcW w:w="3076" w:type="pct"/>
            <w:noWrap w:val="0"/>
            <w:vAlign w:val="center"/>
          </w:tcPr>
          <w:p w14:paraId="3991F103">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志愿者队伍建设</w:t>
            </w:r>
          </w:p>
        </w:tc>
        <w:tc>
          <w:tcPr>
            <w:tcW w:w="837" w:type="pct"/>
            <w:noWrap w:val="0"/>
            <w:vAlign w:val="center"/>
          </w:tcPr>
          <w:p w14:paraId="6A317976">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4支/中心</w:t>
            </w:r>
          </w:p>
        </w:tc>
      </w:tr>
      <w:tr w14:paraId="0E58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086" w:type="pct"/>
            <w:vMerge w:val="continue"/>
            <w:noWrap w:val="0"/>
            <w:vAlign w:val="center"/>
          </w:tcPr>
          <w:p w14:paraId="3914C1F5">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298F5C5E">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公益讲师团</w:t>
            </w:r>
            <w:r>
              <w:rPr>
                <w:rFonts w:hint="eastAsia" w:ascii="宋体" w:hAnsi="宋体" w:eastAsia="宋体" w:cs="宋体"/>
                <w:color w:val="auto"/>
                <w:sz w:val="21"/>
                <w:szCs w:val="21"/>
                <w:highlight w:val="none"/>
                <w:lang w:eastAsia="zh-CN"/>
              </w:rPr>
              <w:t>（项目）</w:t>
            </w:r>
          </w:p>
        </w:tc>
        <w:tc>
          <w:tcPr>
            <w:tcW w:w="837" w:type="pct"/>
            <w:noWrap w:val="0"/>
            <w:vAlign w:val="center"/>
          </w:tcPr>
          <w:p w14:paraId="7930AC66">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1个/中心</w:t>
            </w:r>
          </w:p>
        </w:tc>
      </w:tr>
      <w:tr w14:paraId="03A84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86" w:type="pct"/>
            <w:vMerge w:val="continue"/>
            <w:noWrap w:val="0"/>
            <w:vAlign w:val="center"/>
          </w:tcPr>
          <w:p w14:paraId="4C253526">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36B07139">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心理咨询服务（含转介）</w:t>
            </w:r>
          </w:p>
        </w:tc>
        <w:tc>
          <w:tcPr>
            <w:tcW w:w="837" w:type="pct"/>
            <w:noWrap w:val="0"/>
            <w:vAlign w:val="center"/>
          </w:tcPr>
          <w:p w14:paraId="04A64616">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根据需要</w:t>
            </w:r>
          </w:p>
        </w:tc>
      </w:tr>
      <w:tr w14:paraId="0CCC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5000" w:type="pct"/>
            <w:gridSpan w:val="3"/>
            <w:noWrap w:val="0"/>
            <w:vAlign w:val="center"/>
          </w:tcPr>
          <w:p w14:paraId="5A8AA055">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二、群团服务指标</w:t>
            </w:r>
          </w:p>
        </w:tc>
      </w:tr>
      <w:tr w14:paraId="730D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086" w:type="pct"/>
            <w:vMerge w:val="restart"/>
            <w:noWrap w:val="0"/>
            <w:vAlign w:val="center"/>
          </w:tcPr>
          <w:p w14:paraId="32A3B63F">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1.青年服务</w:t>
            </w:r>
          </w:p>
        </w:tc>
        <w:tc>
          <w:tcPr>
            <w:tcW w:w="3076" w:type="pct"/>
            <w:noWrap w:val="0"/>
            <w:vAlign w:val="center"/>
          </w:tcPr>
          <w:p w14:paraId="66E06F7A">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举办各类志愿服务活动、总结会、表彰会、成果展示交流会以及大型文体综合活动等</w:t>
            </w:r>
          </w:p>
        </w:tc>
        <w:tc>
          <w:tcPr>
            <w:tcW w:w="837" w:type="pct"/>
            <w:noWrap w:val="0"/>
            <w:vAlign w:val="center"/>
          </w:tcPr>
          <w:p w14:paraId="0F50086E">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场</w:t>
            </w:r>
          </w:p>
        </w:tc>
      </w:tr>
      <w:tr w14:paraId="0587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086" w:type="pct"/>
            <w:vMerge w:val="continue"/>
            <w:noWrap w:val="0"/>
            <w:vAlign w:val="center"/>
          </w:tcPr>
          <w:p w14:paraId="594CD9CC">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344FF709">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组织开展志愿者及志愿组织的专业知识培训、团建活动等</w:t>
            </w:r>
          </w:p>
        </w:tc>
        <w:tc>
          <w:tcPr>
            <w:tcW w:w="837" w:type="pct"/>
            <w:noWrap w:val="0"/>
            <w:vAlign w:val="center"/>
          </w:tcPr>
          <w:p w14:paraId="15B93F9E">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场</w:t>
            </w:r>
          </w:p>
        </w:tc>
      </w:tr>
      <w:tr w14:paraId="107F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086" w:type="pct"/>
            <w:vMerge w:val="continue"/>
            <w:noWrap w:val="0"/>
            <w:vAlign w:val="center"/>
          </w:tcPr>
          <w:p w14:paraId="58F34A8A">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3B99A59E">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开展青年文体、交流、学习等活动</w:t>
            </w:r>
          </w:p>
        </w:tc>
        <w:tc>
          <w:tcPr>
            <w:tcW w:w="837" w:type="pct"/>
            <w:noWrap w:val="0"/>
            <w:vAlign w:val="center"/>
          </w:tcPr>
          <w:p w14:paraId="7E1CB3B0">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6场</w:t>
            </w:r>
          </w:p>
        </w:tc>
      </w:tr>
      <w:tr w14:paraId="4806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086" w:type="pct"/>
            <w:vMerge w:val="restart"/>
            <w:noWrap w:val="0"/>
            <w:vAlign w:val="center"/>
          </w:tcPr>
          <w:p w14:paraId="05286983">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2.工会服务</w:t>
            </w:r>
          </w:p>
        </w:tc>
        <w:tc>
          <w:tcPr>
            <w:tcW w:w="3076" w:type="pct"/>
            <w:noWrap w:val="0"/>
            <w:vAlign w:val="center"/>
          </w:tcPr>
          <w:p w14:paraId="75D88B6B">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推动园区工会组织组建、换届、管理等日常工作，以及做好辖区内工会组织的对接联系</w:t>
            </w:r>
          </w:p>
        </w:tc>
        <w:tc>
          <w:tcPr>
            <w:tcW w:w="837" w:type="pct"/>
            <w:noWrap w:val="0"/>
            <w:vAlign w:val="center"/>
          </w:tcPr>
          <w:p w14:paraId="33B954DB">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根据需要</w:t>
            </w:r>
          </w:p>
        </w:tc>
      </w:tr>
      <w:tr w14:paraId="49C1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86" w:type="pct"/>
            <w:vMerge w:val="continue"/>
            <w:noWrap w:val="0"/>
            <w:vAlign w:val="center"/>
          </w:tcPr>
          <w:p w14:paraId="66351AE2">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50ACDF33">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开展职工文体艺术、职工知识技能、生活保障等培训、竞技、交流活动</w:t>
            </w:r>
          </w:p>
        </w:tc>
        <w:tc>
          <w:tcPr>
            <w:tcW w:w="837" w:type="pct"/>
            <w:noWrap w:val="0"/>
            <w:vAlign w:val="center"/>
          </w:tcPr>
          <w:p w14:paraId="6F7A0DD8">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12场</w:t>
            </w:r>
          </w:p>
        </w:tc>
      </w:tr>
      <w:tr w14:paraId="2F66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086" w:type="pct"/>
            <w:vMerge w:val="continue"/>
            <w:noWrap w:val="0"/>
            <w:vAlign w:val="center"/>
          </w:tcPr>
          <w:p w14:paraId="7DA1321D">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6D696903">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做好先进企业、职工评优评选活动工作</w:t>
            </w:r>
          </w:p>
        </w:tc>
        <w:tc>
          <w:tcPr>
            <w:tcW w:w="837" w:type="pct"/>
            <w:noWrap w:val="0"/>
            <w:vAlign w:val="center"/>
          </w:tcPr>
          <w:p w14:paraId="05BF15F5">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1次</w:t>
            </w:r>
          </w:p>
        </w:tc>
      </w:tr>
      <w:tr w14:paraId="0EB2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086" w:type="pct"/>
            <w:vMerge w:val="continue"/>
            <w:noWrap w:val="0"/>
            <w:vAlign w:val="center"/>
          </w:tcPr>
          <w:p w14:paraId="1B30597C">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6D8BB428">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整理困难职工申报及帮扶工作，开展困难职工入户调查，资料整理</w:t>
            </w:r>
          </w:p>
        </w:tc>
        <w:tc>
          <w:tcPr>
            <w:tcW w:w="837" w:type="pct"/>
            <w:noWrap w:val="0"/>
            <w:vAlign w:val="center"/>
          </w:tcPr>
          <w:p w14:paraId="05CDC330">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1次</w:t>
            </w:r>
          </w:p>
        </w:tc>
      </w:tr>
      <w:tr w14:paraId="3517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086" w:type="pct"/>
            <w:vMerge w:val="continue"/>
            <w:noWrap w:val="0"/>
            <w:vAlign w:val="center"/>
          </w:tcPr>
          <w:p w14:paraId="377C2B85">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10BBD216">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协助落实“粤工惠”等工会条块系统管理、信息报送等工作</w:t>
            </w:r>
          </w:p>
        </w:tc>
        <w:tc>
          <w:tcPr>
            <w:tcW w:w="837" w:type="pct"/>
            <w:noWrap w:val="0"/>
            <w:vAlign w:val="center"/>
          </w:tcPr>
          <w:p w14:paraId="4A1F34EF">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根据需要</w:t>
            </w:r>
          </w:p>
        </w:tc>
      </w:tr>
      <w:tr w14:paraId="4479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086" w:type="pct"/>
            <w:vMerge w:val="continue"/>
            <w:noWrap w:val="0"/>
            <w:vAlign w:val="center"/>
          </w:tcPr>
          <w:p w14:paraId="5267A341">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0FAD5048">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处理工会领域信访、投诉等工作</w:t>
            </w:r>
          </w:p>
        </w:tc>
        <w:tc>
          <w:tcPr>
            <w:tcW w:w="837" w:type="pct"/>
            <w:noWrap w:val="0"/>
            <w:vAlign w:val="center"/>
          </w:tcPr>
          <w:p w14:paraId="7CE1C98C">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根据需要</w:t>
            </w:r>
          </w:p>
        </w:tc>
      </w:tr>
      <w:tr w14:paraId="2385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086" w:type="pct"/>
            <w:vMerge w:val="restart"/>
            <w:noWrap w:val="0"/>
            <w:vAlign w:val="center"/>
          </w:tcPr>
          <w:p w14:paraId="2629C6FC">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3.妇联服务</w:t>
            </w:r>
          </w:p>
        </w:tc>
        <w:tc>
          <w:tcPr>
            <w:tcW w:w="3076" w:type="pct"/>
            <w:noWrap w:val="0"/>
            <w:vAlign w:val="center"/>
          </w:tcPr>
          <w:p w14:paraId="1DDF8664">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推动园区妇女组织组建、换届、管理等日常工作，以及做好辖区内女性组织的对接联系</w:t>
            </w:r>
          </w:p>
        </w:tc>
        <w:tc>
          <w:tcPr>
            <w:tcW w:w="837" w:type="pct"/>
            <w:noWrap w:val="0"/>
            <w:vAlign w:val="center"/>
          </w:tcPr>
          <w:p w14:paraId="7EB6E1DA">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根据需要</w:t>
            </w:r>
          </w:p>
        </w:tc>
      </w:tr>
      <w:tr w14:paraId="5598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086" w:type="pct"/>
            <w:vMerge w:val="continue"/>
            <w:noWrap w:val="0"/>
            <w:vAlign w:val="center"/>
          </w:tcPr>
          <w:p w14:paraId="75B57DAF">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5DF1D08B">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开展女性主题的文体艺术、知识技能、生活保障等培训、竞技、交流活动</w:t>
            </w:r>
          </w:p>
        </w:tc>
        <w:tc>
          <w:tcPr>
            <w:tcW w:w="837" w:type="pct"/>
            <w:noWrap w:val="0"/>
            <w:vAlign w:val="center"/>
          </w:tcPr>
          <w:p w14:paraId="2481AF8A">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场</w:t>
            </w:r>
          </w:p>
        </w:tc>
      </w:tr>
      <w:tr w14:paraId="2FB2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86" w:type="pct"/>
            <w:vMerge w:val="continue"/>
            <w:noWrap w:val="0"/>
            <w:vAlign w:val="center"/>
          </w:tcPr>
          <w:p w14:paraId="760B889A">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4214B43E">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做好女性家庭评优评选活动工作</w:t>
            </w:r>
          </w:p>
        </w:tc>
        <w:tc>
          <w:tcPr>
            <w:tcW w:w="837" w:type="pct"/>
            <w:noWrap w:val="0"/>
            <w:vAlign w:val="center"/>
          </w:tcPr>
          <w:p w14:paraId="33406806">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1次</w:t>
            </w:r>
          </w:p>
        </w:tc>
      </w:tr>
      <w:tr w14:paraId="5B3E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1086" w:type="pct"/>
            <w:vMerge w:val="continue"/>
            <w:noWrap w:val="0"/>
            <w:vAlign w:val="center"/>
          </w:tcPr>
          <w:p w14:paraId="350467BB">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p>
        </w:tc>
        <w:tc>
          <w:tcPr>
            <w:tcW w:w="3076" w:type="pct"/>
            <w:noWrap w:val="0"/>
            <w:vAlign w:val="center"/>
          </w:tcPr>
          <w:p w14:paraId="5EFA5E08">
            <w:pPr>
              <w:keepNext w:val="0"/>
              <w:keepLines w:val="0"/>
              <w:pageBreakBefore w:val="0"/>
              <w:widowControl w:val="0"/>
              <w:wordWrap/>
              <w:overflowPunct/>
              <w:topLinePunct w:val="0"/>
              <w:bidi w:val="0"/>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维护妇女儿童合法权益，协助反映妇女的意见建议和要求，代表妇女参与民主管理，民主监督，预防和制止家庭暴力、维护社会稳定</w:t>
            </w:r>
          </w:p>
        </w:tc>
        <w:tc>
          <w:tcPr>
            <w:tcW w:w="837" w:type="pct"/>
            <w:noWrap w:val="0"/>
            <w:vAlign w:val="center"/>
          </w:tcPr>
          <w:p w14:paraId="4458DF25">
            <w:pPr>
              <w:keepNext w:val="0"/>
              <w:keepLines w:val="0"/>
              <w:pageBreakBefore w:val="0"/>
              <w:widowControl w:val="0"/>
              <w:wordWrap/>
              <w:overflowPunct/>
              <w:topLinePunct w:val="0"/>
              <w:bidi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根据需要</w:t>
            </w:r>
          </w:p>
        </w:tc>
      </w:tr>
    </w:tbl>
    <w:p w14:paraId="080430FA">
      <w:pPr>
        <w:keepNext w:val="0"/>
        <w:keepLines w:val="0"/>
        <w:pageBreakBefore w:val="0"/>
        <w:wordWrap/>
        <w:overflowPunct/>
        <w:topLinePunct w:val="0"/>
        <w:bidi w:val="0"/>
        <w:adjustRightInd w:val="0"/>
        <w:snapToGrid w:val="0"/>
        <w:spacing w:line="360" w:lineRule="auto"/>
        <w:rPr>
          <w:rFonts w:hint="eastAsia" w:ascii="宋体" w:hAnsi="宋体" w:eastAsia="宋体" w:cs="宋体"/>
          <w:b/>
          <w:bCs/>
          <w:color w:val="auto"/>
          <w:sz w:val="21"/>
          <w:szCs w:val="21"/>
          <w:highlight w:val="none"/>
          <w:lang w:val="en-US" w:eastAsia="zh-CN"/>
        </w:rPr>
      </w:pPr>
    </w:p>
    <w:p w14:paraId="37F0C5D7">
      <w:pPr>
        <w:keepNext w:val="0"/>
        <w:keepLines w:val="0"/>
        <w:pageBreakBefore w:val="0"/>
        <w:wordWrap/>
        <w:overflowPunct/>
        <w:topLinePunct w:val="0"/>
        <w:bidi w:val="0"/>
        <w:adjustRightInd w:val="0"/>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六、人员配置及任职要求</w:t>
      </w:r>
    </w:p>
    <w:p w14:paraId="2D41A91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（一）购买服务人员数量配置</w:t>
      </w:r>
    </w:p>
    <w:p w14:paraId="55DBA14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本项目共需要配置阳光雨党群服务中心社工共45名。</w:t>
      </w:r>
    </w:p>
    <w:p w14:paraId="7CBDF50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（二）购买服务人员任职要求</w:t>
      </w:r>
    </w:p>
    <w:p w14:paraId="32C2AC3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团队中工作人员必须具有本科以上学历，至少有30%以上工作人员是中共党员；</w:t>
      </w:r>
    </w:p>
    <w:p w14:paraId="280F3C0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社会工作专业人员（具备社会工作专业知识和技能，专门从事社会工作服务的人员，包括取得社会工作者职业水平证书的高级社工师、社会工作师及助理社工师或有社会工作专业服务经验的人员）不低于项目总人数的</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0%，按照不低于1:4的比例配置（中、高级）社会工作师和助理社会工作师。</w:t>
      </w:r>
    </w:p>
    <w:p w14:paraId="36BBF58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工作人员接纳服务对象时，应尊重服务对象的自决权、隐私权、知情权，保护其权益；运用专业的知识、方法和技巧，能以普通话、粤语与服务对象沟通，为解决服务对象的实际问题和困难，为采购人相关工作出谋划策并提供帮助；热爱本职工作，具有社会责任感和敬业精神，遵守职业操守及各项管理制度。</w:t>
      </w:r>
    </w:p>
    <w:p w14:paraId="69793244">
      <w:pPr>
        <w:keepNext w:val="0"/>
        <w:keepLines w:val="0"/>
        <w:pageBreakBefore w:val="0"/>
        <w:wordWrap/>
        <w:overflowPunct/>
        <w:topLinePunct w:val="0"/>
        <w:bidi w:val="0"/>
        <w:adjustRightInd w:val="0"/>
        <w:snapToGrid w:val="0"/>
        <w:spacing w:line="360" w:lineRule="auto"/>
        <w:rPr>
          <w:rFonts w:hint="eastAsia" w:ascii="宋体" w:hAnsi="宋体" w:eastAsia="宋体" w:cs="宋体"/>
          <w:b/>
          <w:bCs/>
          <w:color w:val="auto"/>
          <w:sz w:val="21"/>
          <w:szCs w:val="21"/>
          <w:highlight w:val="none"/>
          <w:lang w:val="en-US" w:eastAsia="zh-CN"/>
        </w:rPr>
      </w:pPr>
    </w:p>
    <w:p w14:paraId="72375496">
      <w:pPr>
        <w:keepNext w:val="0"/>
        <w:keepLines w:val="0"/>
        <w:pageBreakBefore w:val="0"/>
        <w:wordWrap/>
        <w:overflowPunct/>
        <w:topLinePunct w:val="0"/>
        <w:bidi w:val="0"/>
        <w:adjustRightInd w:val="0"/>
        <w:snapToGrid w:val="0"/>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七、服务质量保证及后续服务</w:t>
      </w:r>
    </w:p>
    <w:p w14:paraId="23762CD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1、中标人中标后必须按照东莞市民政部门相关要求接受监督，如因未符合相关要求导致不能正常履约的情况，采购人有权终止合同，并有权要求中标人赔偿一切损失。</w:t>
      </w:r>
    </w:p>
    <w:p w14:paraId="2D88D32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2、采购人每季度对中标人提供的社工进行考核。在采购人进行的考核评估中（含试用期内），如中标人提供的社工提供的服务未能达到协议标准或不能通过相关工作考核，采购人有权要求中标人予以调换。</w:t>
      </w:r>
    </w:p>
    <w:p w14:paraId="0FE366A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3、中标人负责社工日常管理、教育、培训等。</w:t>
      </w:r>
    </w:p>
    <w:p w14:paraId="4B8511A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4、中标人应对派出社工定期进行考核评估，以促进社工能力的不断提升。</w:t>
      </w:r>
    </w:p>
    <w:p w14:paraId="0A99BE3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每年，由采购人和中标人组成联合考评小组或采购人每年邀请第三方评估机构对中标人提供的服务进行综合评估，在年度考核评估中，如中标人提供的服务未能达到合格标准或不能通过评估考核，采购人有权要求中标人予以及时调整工作方案或调换服务人员，如两次评估考核仍未达到合格标准或不能通过评估考核，采购人有权提出更换中标人或不与中标人续签合同。</w:t>
      </w:r>
    </w:p>
    <w:p w14:paraId="414E5DD0">
      <w:pPr>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color w:val="auto"/>
          <w:sz w:val="21"/>
          <w:szCs w:val="21"/>
          <w:highlight w:val="none"/>
          <w:lang w:val="en-US" w:eastAsia="zh-CN"/>
        </w:rPr>
      </w:pPr>
    </w:p>
    <w:p w14:paraId="6F184F54">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6C75DAB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附件1：</w:t>
      </w:r>
    </w:p>
    <w:p w14:paraId="464A87C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社工服务评估考核评分表</w:t>
      </w:r>
    </w:p>
    <w:p w14:paraId="6A9E8AC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考核对象：                    考核周期（每半年一次）：         </w:t>
      </w:r>
    </w:p>
    <w:tbl>
      <w:tblPr>
        <w:tblStyle w:val="12"/>
        <w:tblW w:w="9488" w:type="dxa"/>
        <w:tblInd w:w="-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842"/>
        <w:gridCol w:w="3739"/>
        <w:gridCol w:w="935"/>
        <w:gridCol w:w="1200"/>
        <w:gridCol w:w="900"/>
        <w:gridCol w:w="1019"/>
      </w:tblGrid>
      <w:tr w14:paraId="6BAF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53" w:type="dxa"/>
            <w:vAlign w:val="center"/>
          </w:tcPr>
          <w:p w14:paraId="2829675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考核项目</w:t>
            </w:r>
          </w:p>
        </w:tc>
        <w:tc>
          <w:tcPr>
            <w:tcW w:w="842" w:type="dxa"/>
            <w:vAlign w:val="center"/>
          </w:tcPr>
          <w:p w14:paraId="6978DAD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各项分值</w:t>
            </w:r>
          </w:p>
        </w:tc>
        <w:tc>
          <w:tcPr>
            <w:tcW w:w="3739" w:type="dxa"/>
            <w:vAlign w:val="center"/>
          </w:tcPr>
          <w:p w14:paraId="250BDD93">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具体考核内容及分值</w:t>
            </w:r>
          </w:p>
        </w:tc>
        <w:tc>
          <w:tcPr>
            <w:tcW w:w="935" w:type="dxa"/>
            <w:vAlign w:val="center"/>
          </w:tcPr>
          <w:p w14:paraId="6ADE292F">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个人自评</w:t>
            </w:r>
          </w:p>
        </w:tc>
        <w:tc>
          <w:tcPr>
            <w:tcW w:w="1200" w:type="dxa"/>
            <w:vAlign w:val="center"/>
          </w:tcPr>
          <w:p w14:paraId="2893CDA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（机构）</w:t>
            </w:r>
            <w:r>
              <w:rPr>
                <w:rFonts w:hint="eastAsia" w:ascii="宋体" w:hAnsi="宋体" w:eastAsia="宋体" w:cs="宋体"/>
                <w:color w:val="auto"/>
                <w:sz w:val="21"/>
                <w:szCs w:val="21"/>
                <w:highlight w:val="none"/>
              </w:rPr>
              <w:t>扣分</w:t>
            </w:r>
          </w:p>
        </w:tc>
        <w:tc>
          <w:tcPr>
            <w:tcW w:w="900" w:type="dxa"/>
            <w:vAlign w:val="center"/>
          </w:tcPr>
          <w:p w14:paraId="3D08512E">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扣分原因</w:t>
            </w:r>
          </w:p>
        </w:tc>
        <w:tc>
          <w:tcPr>
            <w:tcW w:w="1019" w:type="dxa"/>
            <w:vAlign w:val="center"/>
          </w:tcPr>
          <w:p w14:paraId="28C740BE">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实际得分</w:t>
            </w:r>
          </w:p>
        </w:tc>
      </w:tr>
      <w:tr w14:paraId="4D0C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restart"/>
            <w:vAlign w:val="center"/>
          </w:tcPr>
          <w:p w14:paraId="3D86C325">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思想品德</w:t>
            </w:r>
          </w:p>
        </w:tc>
        <w:tc>
          <w:tcPr>
            <w:tcW w:w="842" w:type="dxa"/>
            <w:vMerge w:val="restart"/>
            <w:vAlign w:val="center"/>
          </w:tcPr>
          <w:p w14:paraId="502C8702">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20分</w:t>
            </w:r>
          </w:p>
        </w:tc>
        <w:tc>
          <w:tcPr>
            <w:tcW w:w="3739" w:type="dxa"/>
            <w:vAlign w:val="center"/>
          </w:tcPr>
          <w:p w14:paraId="686BB6D1">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①品德端正，爱岗敬业。（5分）</w:t>
            </w:r>
          </w:p>
        </w:tc>
        <w:tc>
          <w:tcPr>
            <w:tcW w:w="935" w:type="dxa"/>
            <w:vAlign w:val="center"/>
          </w:tcPr>
          <w:p w14:paraId="4F2F6A9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0D99D0D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264FBE9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762CD125">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19C7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5B43C875">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5154D579">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2E6E8CB9">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②廉洁做事，遵纪守法，无收拿卡要行为。（5分）</w:t>
            </w:r>
          </w:p>
        </w:tc>
        <w:tc>
          <w:tcPr>
            <w:tcW w:w="935" w:type="dxa"/>
            <w:vAlign w:val="center"/>
          </w:tcPr>
          <w:p w14:paraId="59527810">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0813335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3D6DFFBD">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36EDF200">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7876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43F04AEB">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3B60F71A">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11A47A16">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③认真贯彻落实用人单位的各项工作布置和安排。（5分）</w:t>
            </w:r>
          </w:p>
        </w:tc>
        <w:tc>
          <w:tcPr>
            <w:tcW w:w="935" w:type="dxa"/>
            <w:vAlign w:val="center"/>
          </w:tcPr>
          <w:p w14:paraId="565EAA25">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72A0BE82">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5D049754">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0B7EE26B">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653F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06F496D0">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16ABCDA9">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59A7E623">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④遵守用人单位各项规章制度，不迟到早退。（5分）</w:t>
            </w:r>
          </w:p>
        </w:tc>
        <w:tc>
          <w:tcPr>
            <w:tcW w:w="935" w:type="dxa"/>
            <w:vAlign w:val="center"/>
          </w:tcPr>
          <w:p w14:paraId="1940056F">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185E8F6C">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12CA5E6D">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4EA6903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63F1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Align w:val="center"/>
          </w:tcPr>
          <w:p w14:paraId="0A4E7DF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工作难度</w:t>
            </w:r>
          </w:p>
        </w:tc>
        <w:tc>
          <w:tcPr>
            <w:tcW w:w="842" w:type="dxa"/>
            <w:vAlign w:val="center"/>
          </w:tcPr>
          <w:p w14:paraId="62D8CF0B">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3739" w:type="dxa"/>
            <w:vAlign w:val="center"/>
          </w:tcPr>
          <w:p w14:paraId="03D17829">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①工作量大，有时工作时间内无法做完，需要加班完成。（10分）</w:t>
            </w:r>
          </w:p>
        </w:tc>
        <w:tc>
          <w:tcPr>
            <w:tcW w:w="935" w:type="dxa"/>
            <w:vAlign w:val="center"/>
          </w:tcPr>
          <w:p w14:paraId="450AFFF4">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1B3A978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4E76B7DF">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18779E8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017B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restart"/>
            <w:vAlign w:val="center"/>
          </w:tcPr>
          <w:p w14:paraId="1C1EB0B1">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工作效能</w:t>
            </w:r>
          </w:p>
        </w:tc>
        <w:tc>
          <w:tcPr>
            <w:tcW w:w="842" w:type="dxa"/>
            <w:vMerge w:val="restart"/>
            <w:vAlign w:val="center"/>
          </w:tcPr>
          <w:p w14:paraId="735BA8C5">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40分</w:t>
            </w:r>
          </w:p>
        </w:tc>
        <w:tc>
          <w:tcPr>
            <w:tcW w:w="3739" w:type="dxa"/>
            <w:vAlign w:val="center"/>
          </w:tcPr>
          <w:p w14:paraId="227205A0">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①提前或按时、按量完成本职工作和交办的任务，工效率高。（15分）</w:t>
            </w:r>
          </w:p>
        </w:tc>
        <w:tc>
          <w:tcPr>
            <w:tcW w:w="935" w:type="dxa"/>
            <w:vAlign w:val="center"/>
          </w:tcPr>
          <w:p w14:paraId="7C12FCCC">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3FA2AA6E">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0CD6F6AE">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256A6C6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3D8F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6CAEC494">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02FD2F53">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59997008">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②工作无疏漏，完成情况令人满意。（15分）</w:t>
            </w:r>
          </w:p>
        </w:tc>
        <w:tc>
          <w:tcPr>
            <w:tcW w:w="935" w:type="dxa"/>
            <w:vAlign w:val="center"/>
          </w:tcPr>
          <w:p w14:paraId="57E273F7">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58103879">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0026AF8E">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2D8F2D41">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5230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4C3D1D8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02196139">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7AF93344">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③积极发挥专业方法和技巧，工作中能对用人单位提出合理化建议。（10分）</w:t>
            </w:r>
          </w:p>
        </w:tc>
        <w:tc>
          <w:tcPr>
            <w:tcW w:w="935" w:type="dxa"/>
            <w:vAlign w:val="center"/>
          </w:tcPr>
          <w:p w14:paraId="12C40F20">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56AF3715">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65E578EA">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2E9E3721">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0317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restart"/>
            <w:vAlign w:val="center"/>
          </w:tcPr>
          <w:p w14:paraId="45E038DF">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工作态度</w:t>
            </w:r>
          </w:p>
        </w:tc>
        <w:tc>
          <w:tcPr>
            <w:tcW w:w="842" w:type="dxa"/>
            <w:vMerge w:val="restart"/>
            <w:vAlign w:val="center"/>
          </w:tcPr>
          <w:p w14:paraId="75708A8E">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30分</w:t>
            </w:r>
          </w:p>
        </w:tc>
        <w:tc>
          <w:tcPr>
            <w:tcW w:w="3739" w:type="dxa"/>
            <w:vAlign w:val="center"/>
          </w:tcPr>
          <w:p w14:paraId="18D66A23">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①工作认真，责任心强。（6分）</w:t>
            </w:r>
          </w:p>
        </w:tc>
        <w:tc>
          <w:tcPr>
            <w:tcW w:w="935" w:type="dxa"/>
            <w:vAlign w:val="center"/>
          </w:tcPr>
          <w:p w14:paraId="0712742D">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3AA67AB5">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42E7F222">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7B78F30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69EA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4B18BDE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4A5906A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77E55A59">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②工作积极主动，服从安排。（6分）</w:t>
            </w:r>
          </w:p>
        </w:tc>
        <w:tc>
          <w:tcPr>
            <w:tcW w:w="935" w:type="dxa"/>
            <w:vAlign w:val="center"/>
          </w:tcPr>
          <w:p w14:paraId="5E5938B1">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28812DF9">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1EF3BA9E">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52B4AE7E">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503D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75AFA15A">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23CD7492">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35A798F5">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③工作有计划，事前有请示，过程有汇报，出现问题及时反馈，并提出解决问题的建议。（6分）</w:t>
            </w:r>
          </w:p>
        </w:tc>
        <w:tc>
          <w:tcPr>
            <w:tcW w:w="935" w:type="dxa"/>
            <w:vAlign w:val="center"/>
          </w:tcPr>
          <w:p w14:paraId="5D0CC9D2">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64E8F17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6FD7912A">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75B4A5BA">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0EF0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21EF842D">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01D240A2">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48F9FA81">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④主动承担责任，敢于担当，遇到问题不畏缩并积极处理。（6分）</w:t>
            </w:r>
          </w:p>
        </w:tc>
        <w:tc>
          <w:tcPr>
            <w:tcW w:w="935" w:type="dxa"/>
            <w:vAlign w:val="center"/>
          </w:tcPr>
          <w:p w14:paraId="371722D8">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542594A0">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32804E21">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4403F2C4">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352E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vMerge w:val="continue"/>
            <w:vAlign w:val="center"/>
          </w:tcPr>
          <w:p w14:paraId="175120D4">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842" w:type="dxa"/>
            <w:vMerge w:val="continue"/>
            <w:vAlign w:val="center"/>
          </w:tcPr>
          <w:p w14:paraId="344F6000">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3739" w:type="dxa"/>
            <w:vAlign w:val="center"/>
          </w:tcPr>
          <w:p w14:paraId="13CD9C00">
            <w:pPr>
              <w:keepNext w:val="0"/>
              <w:keepLines w:val="0"/>
              <w:pageBreakBefore w:val="0"/>
              <w:wordWrap/>
              <w:overflowPunct/>
              <w:topLinePunct w:val="0"/>
              <w:bidi w:val="0"/>
              <w:snapToGrid w:val="0"/>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⑤对当事人态度热情，耐心细致，得到群众认同。（6分）</w:t>
            </w:r>
          </w:p>
        </w:tc>
        <w:tc>
          <w:tcPr>
            <w:tcW w:w="935" w:type="dxa"/>
            <w:vAlign w:val="center"/>
          </w:tcPr>
          <w:p w14:paraId="489CFB40">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200" w:type="dxa"/>
            <w:vAlign w:val="center"/>
          </w:tcPr>
          <w:p w14:paraId="1EFC1BCC">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900" w:type="dxa"/>
            <w:vAlign w:val="center"/>
          </w:tcPr>
          <w:p w14:paraId="6AF1C8E6">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c>
          <w:tcPr>
            <w:tcW w:w="1019" w:type="dxa"/>
            <w:vAlign w:val="center"/>
          </w:tcPr>
          <w:p w14:paraId="7804164F">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r w14:paraId="285B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469" w:type="dxa"/>
            <w:gridSpan w:val="6"/>
            <w:vAlign w:val="center"/>
          </w:tcPr>
          <w:p w14:paraId="26AE3797">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总分</w:t>
            </w:r>
          </w:p>
        </w:tc>
        <w:tc>
          <w:tcPr>
            <w:tcW w:w="1019" w:type="dxa"/>
            <w:vAlign w:val="center"/>
          </w:tcPr>
          <w:p w14:paraId="7BF1CA12">
            <w:pPr>
              <w:keepNext w:val="0"/>
              <w:keepLines w:val="0"/>
              <w:pageBreakBefore w:val="0"/>
              <w:wordWrap/>
              <w:overflowPunct/>
              <w:topLinePunct w:val="0"/>
              <w:bidi w:val="0"/>
              <w:snapToGrid w:val="0"/>
              <w:spacing w:line="360" w:lineRule="auto"/>
              <w:jc w:val="center"/>
              <w:rPr>
                <w:rFonts w:hint="eastAsia" w:ascii="宋体" w:hAnsi="宋体" w:eastAsia="宋体" w:cs="宋体"/>
                <w:color w:val="auto"/>
                <w:sz w:val="21"/>
                <w:szCs w:val="21"/>
                <w:highlight w:val="none"/>
              </w:rPr>
            </w:pPr>
          </w:p>
        </w:tc>
      </w:tr>
    </w:tbl>
    <w:p w14:paraId="4EF68C42">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（91-100分为优秀；81-90分为良好；70-80分为合格；70分以下为不及格）</w:t>
      </w:r>
    </w:p>
    <w:p w14:paraId="585949AF">
      <w:pPr>
        <w:pStyle w:val="5"/>
        <w:rPr>
          <w:rFonts w:hint="eastAsia"/>
          <w:color w:val="auto"/>
          <w:highlight w:val="none"/>
          <w:lang w:val="en-US" w:eastAsia="zh-CN"/>
        </w:rPr>
      </w:pPr>
    </w:p>
    <w:p w14:paraId="418C71A6">
      <w:pP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br w:type="page"/>
      </w:r>
    </w:p>
    <w:p w14:paraId="1E42EC7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附件2：</w:t>
      </w:r>
    </w:p>
    <w:p w14:paraId="12D6643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松山湖政府购买社工服务评估指标体系</w:t>
      </w:r>
    </w:p>
    <w:tbl>
      <w:tblPr>
        <w:tblStyle w:val="12"/>
        <w:tblW w:w="11007" w:type="dxa"/>
        <w:tblInd w:w="-12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808"/>
        <w:gridCol w:w="761"/>
        <w:gridCol w:w="566"/>
        <w:gridCol w:w="3207"/>
        <w:gridCol w:w="3416"/>
        <w:gridCol w:w="692"/>
        <w:gridCol w:w="761"/>
      </w:tblGrid>
      <w:tr w14:paraId="727B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Align w:val="center"/>
          </w:tcPr>
          <w:p w14:paraId="6BB0ECA7">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一级指标</w:t>
            </w:r>
          </w:p>
        </w:tc>
        <w:tc>
          <w:tcPr>
            <w:tcW w:w="808" w:type="dxa"/>
            <w:vAlign w:val="center"/>
          </w:tcPr>
          <w:p w14:paraId="6E34EC4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二级指标</w:t>
            </w:r>
          </w:p>
        </w:tc>
        <w:tc>
          <w:tcPr>
            <w:tcW w:w="761" w:type="dxa"/>
            <w:vAlign w:val="center"/>
          </w:tcPr>
          <w:p w14:paraId="66FB64AC">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三级指标</w:t>
            </w:r>
          </w:p>
        </w:tc>
        <w:tc>
          <w:tcPr>
            <w:tcW w:w="566" w:type="dxa"/>
            <w:vAlign w:val="center"/>
          </w:tcPr>
          <w:p w14:paraId="028133E2">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3207" w:type="dxa"/>
            <w:vAlign w:val="center"/>
          </w:tcPr>
          <w:p w14:paraId="1D41D02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指标说明</w:t>
            </w:r>
          </w:p>
        </w:tc>
        <w:tc>
          <w:tcPr>
            <w:tcW w:w="3416" w:type="dxa"/>
            <w:vAlign w:val="center"/>
          </w:tcPr>
          <w:p w14:paraId="3C195A0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具体指标</w:t>
            </w:r>
          </w:p>
        </w:tc>
        <w:tc>
          <w:tcPr>
            <w:tcW w:w="692" w:type="dxa"/>
            <w:vAlign w:val="center"/>
          </w:tcPr>
          <w:p w14:paraId="1071D537">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评价主体</w:t>
            </w:r>
          </w:p>
        </w:tc>
        <w:tc>
          <w:tcPr>
            <w:tcW w:w="761" w:type="dxa"/>
            <w:vAlign w:val="center"/>
          </w:tcPr>
          <w:p w14:paraId="39D74C4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评价方法</w:t>
            </w:r>
          </w:p>
        </w:tc>
      </w:tr>
      <w:tr w14:paraId="6602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restart"/>
            <w:vAlign w:val="center"/>
          </w:tcPr>
          <w:p w14:paraId="73B0B061">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1.运营管理（18分）</w:t>
            </w:r>
          </w:p>
        </w:tc>
        <w:tc>
          <w:tcPr>
            <w:tcW w:w="808" w:type="dxa"/>
            <w:vMerge w:val="restart"/>
            <w:vAlign w:val="center"/>
          </w:tcPr>
          <w:p w14:paraId="1F2AE90A">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1.1人力资源配置（6分）</w:t>
            </w:r>
          </w:p>
        </w:tc>
        <w:tc>
          <w:tcPr>
            <w:tcW w:w="761" w:type="dxa"/>
            <w:vAlign w:val="center"/>
          </w:tcPr>
          <w:p w14:paraId="0F8E470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1.1.1到岗情况</w:t>
            </w:r>
          </w:p>
        </w:tc>
        <w:tc>
          <w:tcPr>
            <w:tcW w:w="566" w:type="dxa"/>
            <w:vAlign w:val="center"/>
          </w:tcPr>
          <w:p w14:paraId="699CA18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7E9619BB">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岗位人员依照合同规定及时到岗，无空岗情况。空岗一个月扣0.5分，扣完为止</w:t>
            </w:r>
          </w:p>
        </w:tc>
        <w:tc>
          <w:tcPr>
            <w:tcW w:w="3416" w:type="dxa"/>
            <w:vAlign w:val="center"/>
          </w:tcPr>
          <w:p w14:paraId="1F503FD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7BCF4A8D">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196FFA7C">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4CF6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29962C52">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52149EB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761" w:type="dxa"/>
            <w:vAlign w:val="center"/>
          </w:tcPr>
          <w:p w14:paraId="720D8AD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1.1.2人员资质</w:t>
            </w:r>
          </w:p>
        </w:tc>
        <w:tc>
          <w:tcPr>
            <w:tcW w:w="566" w:type="dxa"/>
            <w:vAlign w:val="center"/>
          </w:tcPr>
          <w:p w14:paraId="285DEA5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5FBBC5D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人员资质完全符合合同要求，如出现人员资质不符合合同要求的，每人/月不符合的，扣0.1分，扣完为止。</w:t>
            </w:r>
          </w:p>
        </w:tc>
        <w:tc>
          <w:tcPr>
            <w:tcW w:w="3416" w:type="dxa"/>
            <w:vAlign w:val="center"/>
          </w:tcPr>
          <w:p w14:paraId="341AA0A3">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76A8E17C">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380A8B64">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05DB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45735BA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48708AF1">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761" w:type="dxa"/>
            <w:vAlign w:val="center"/>
          </w:tcPr>
          <w:p w14:paraId="2631B0D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1.1.3</w:t>
            </w:r>
            <w:r>
              <w:rPr>
                <w:rFonts w:hint="eastAsia" w:ascii="宋体" w:hAnsi="宋体" w:eastAsia="宋体" w:cs="宋体"/>
                <w:color w:val="auto"/>
                <w:sz w:val="21"/>
                <w:szCs w:val="21"/>
                <w:highlight w:val="none"/>
                <w:lang w:eastAsia="zh-CN"/>
              </w:rPr>
              <w:t>薪酬水平</w:t>
            </w:r>
          </w:p>
        </w:tc>
        <w:tc>
          <w:tcPr>
            <w:tcW w:w="566" w:type="dxa"/>
            <w:vAlign w:val="center"/>
          </w:tcPr>
          <w:p w14:paraId="7D7BB5F2">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61F42EF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人员平均人力成本(含单位缴纳的社保、公积金以及绩效) 应不低于购买经费总额的 83%。低于该比例的，每降低 1个百分点扣 0.15分，扣完为止。</w:t>
            </w:r>
          </w:p>
        </w:tc>
        <w:tc>
          <w:tcPr>
            <w:tcW w:w="3416" w:type="dxa"/>
            <w:vAlign w:val="center"/>
          </w:tcPr>
          <w:p w14:paraId="608F5025">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73CE22C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4C0FE93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554E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04CEE328">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restart"/>
            <w:vAlign w:val="center"/>
          </w:tcPr>
          <w:p w14:paraId="58826FD9">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1.2利益相关方沟通管理（7分）</w:t>
            </w:r>
          </w:p>
        </w:tc>
        <w:tc>
          <w:tcPr>
            <w:tcW w:w="761" w:type="dxa"/>
            <w:vAlign w:val="center"/>
          </w:tcPr>
          <w:p w14:paraId="4DB175E0">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1.2.1服务单位关系管理</w:t>
            </w:r>
          </w:p>
        </w:tc>
        <w:tc>
          <w:tcPr>
            <w:tcW w:w="566" w:type="dxa"/>
            <w:vAlign w:val="center"/>
          </w:tcPr>
          <w:p w14:paraId="7631659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75BC367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建立与服务使用单位关系管理机制并有效实施。</w:t>
            </w:r>
          </w:p>
        </w:tc>
        <w:tc>
          <w:tcPr>
            <w:tcW w:w="3416" w:type="dxa"/>
            <w:vAlign w:val="center"/>
          </w:tcPr>
          <w:p w14:paraId="2F27670A">
            <w:pPr>
              <w:keepNext w:val="0"/>
              <w:keepLines w:val="0"/>
              <w:pageBreakBefore w:val="0"/>
              <w:widowControl w:val="0"/>
              <w:numPr>
                <w:ilvl w:val="0"/>
                <w:numId w:val="1"/>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有相关制度文本得1分；</w:t>
            </w:r>
          </w:p>
          <w:p w14:paraId="618727E6">
            <w:pPr>
              <w:keepNext w:val="0"/>
              <w:keepLines w:val="0"/>
              <w:pageBreakBefore w:val="0"/>
              <w:widowControl w:val="0"/>
              <w:numPr>
                <w:ilvl w:val="0"/>
                <w:numId w:val="1"/>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用人方评价90分（含）</w:t>
            </w:r>
            <w:r>
              <w:rPr>
                <w:rFonts w:hint="eastAsia" w:ascii="宋体" w:hAnsi="宋体" w:eastAsia="宋体" w:cs="宋体"/>
                <w:color w:val="auto"/>
                <w:sz w:val="21"/>
                <w:szCs w:val="21"/>
                <w:highlight w:val="none"/>
                <w:lang w:eastAsia="zh-CN"/>
              </w:rPr>
              <w:t>以上</w:t>
            </w:r>
            <w:r>
              <w:rPr>
                <w:rFonts w:hint="eastAsia" w:ascii="宋体" w:hAnsi="宋体" w:eastAsia="宋体" w:cs="宋体"/>
                <w:color w:val="auto"/>
                <w:sz w:val="21"/>
                <w:szCs w:val="21"/>
                <w:highlight w:val="none"/>
              </w:rPr>
              <w:t>得1分，否则不得分。</w:t>
            </w:r>
          </w:p>
        </w:tc>
        <w:tc>
          <w:tcPr>
            <w:tcW w:w="692" w:type="dxa"/>
            <w:vAlign w:val="center"/>
          </w:tcPr>
          <w:p w14:paraId="21B4FD7C">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057F3CA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资料分析、服务使用单位</w:t>
            </w:r>
            <w:r>
              <w:rPr>
                <w:rFonts w:hint="eastAsia" w:ascii="宋体" w:hAnsi="宋体" w:eastAsia="宋体" w:cs="宋体"/>
                <w:color w:val="auto"/>
                <w:sz w:val="21"/>
                <w:szCs w:val="21"/>
                <w:highlight w:val="none"/>
                <w:lang w:eastAsia="zh-CN"/>
              </w:rPr>
              <w:t>问卷调查</w:t>
            </w:r>
          </w:p>
        </w:tc>
      </w:tr>
      <w:tr w14:paraId="051B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96" w:type="dxa"/>
            <w:vMerge w:val="continue"/>
            <w:vAlign w:val="center"/>
          </w:tcPr>
          <w:p w14:paraId="3CB89B6A">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5052D0A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740A1B8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1.2.2服务对象关系管理</w:t>
            </w:r>
          </w:p>
        </w:tc>
        <w:tc>
          <w:tcPr>
            <w:tcW w:w="566" w:type="dxa"/>
            <w:vAlign w:val="center"/>
          </w:tcPr>
          <w:p w14:paraId="74B848D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07" w:type="dxa"/>
            <w:vAlign w:val="center"/>
          </w:tcPr>
          <w:p w14:paraId="265F1EEC">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建立与服务对象关系管理机制并有效实施。</w:t>
            </w:r>
          </w:p>
        </w:tc>
        <w:tc>
          <w:tcPr>
            <w:tcW w:w="3416" w:type="dxa"/>
            <w:vAlign w:val="center"/>
          </w:tcPr>
          <w:p w14:paraId="040AEC1F">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服务对象管理制度文本，得1分。</w:t>
            </w:r>
          </w:p>
          <w:p w14:paraId="346673A8">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服务对象反馈80分以上得1分，90分</w:t>
            </w:r>
            <w:r>
              <w:rPr>
                <w:rFonts w:hint="eastAsia" w:ascii="宋体" w:hAnsi="宋体" w:eastAsia="宋体" w:cs="宋体"/>
                <w:color w:val="auto"/>
                <w:sz w:val="21"/>
                <w:szCs w:val="21"/>
                <w:highlight w:val="none"/>
                <w:lang w:eastAsia="zh-CN"/>
              </w:rPr>
              <w:t>（含）以上</w:t>
            </w:r>
            <w:r>
              <w:rPr>
                <w:rFonts w:hint="eastAsia" w:ascii="宋体" w:hAnsi="宋体" w:eastAsia="宋体" w:cs="宋体"/>
                <w:color w:val="auto"/>
                <w:sz w:val="21"/>
                <w:szCs w:val="21"/>
                <w:highlight w:val="none"/>
              </w:rPr>
              <w:t>，得2分，低于80分不得分。</w:t>
            </w:r>
          </w:p>
        </w:tc>
        <w:tc>
          <w:tcPr>
            <w:tcW w:w="692" w:type="dxa"/>
            <w:vAlign w:val="center"/>
          </w:tcPr>
          <w:p w14:paraId="46EC93F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67AFFE4F">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资料分析、服务对象访谈</w:t>
            </w:r>
          </w:p>
        </w:tc>
      </w:tr>
      <w:tr w14:paraId="4C0B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4C2BD1EF">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7E932B92">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6919854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1.2.3其他利益相关方关系管理</w:t>
            </w:r>
          </w:p>
        </w:tc>
        <w:tc>
          <w:tcPr>
            <w:tcW w:w="566" w:type="dxa"/>
            <w:vAlign w:val="center"/>
          </w:tcPr>
          <w:p w14:paraId="7720AC4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42BA762B">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建立了除服务使用单位及服务对象之外的其他利益相关方关系管理机制，并有效实施。</w:t>
            </w:r>
          </w:p>
        </w:tc>
        <w:tc>
          <w:tcPr>
            <w:tcW w:w="3416" w:type="dxa"/>
            <w:vAlign w:val="center"/>
          </w:tcPr>
          <w:p w14:paraId="2A140FD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54ACE807">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4D0667F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资料分析、</w:t>
            </w:r>
            <w:r>
              <w:rPr>
                <w:rFonts w:hint="eastAsia" w:ascii="宋体" w:hAnsi="宋体" w:eastAsia="宋体" w:cs="宋体"/>
                <w:color w:val="auto"/>
                <w:sz w:val="21"/>
                <w:szCs w:val="21"/>
                <w:highlight w:val="none"/>
                <w:lang w:eastAsia="zh-CN"/>
              </w:rPr>
              <w:t>问卷调查</w:t>
            </w:r>
          </w:p>
        </w:tc>
      </w:tr>
      <w:tr w14:paraId="65E6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0A41C8D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restart"/>
            <w:vAlign w:val="center"/>
          </w:tcPr>
          <w:p w14:paraId="1EB287F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1.3服务质量管理（5分）</w:t>
            </w:r>
          </w:p>
        </w:tc>
        <w:tc>
          <w:tcPr>
            <w:tcW w:w="761" w:type="dxa"/>
            <w:vAlign w:val="center"/>
          </w:tcPr>
          <w:p w14:paraId="0839881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1.3.1工作总结/反思</w:t>
            </w:r>
          </w:p>
        </w:tc>
        <w:tc>
          <w:tcPr>
            <w:tcW w:w="566" w:type="dxa"/>
            <w:vAlign w:val="center"/>
          </w:tcPr>
          <w:p w14:paraId="32EC4B0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07" w:type="dxa"/>
            <w:vAlign w:val="center"/>
          </w:tcPr>
          <w:p w14:paraId="7D10BEC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能够定期通过工作总结等方式及时发现工作中的不足并加以改进，且工作总结中能反映相关问题、针对问题的具体改进措施等。</w:t>
            </w:r>
          </w:p>
        </w:tc>
        <w:tc>
          <w:tcPr>
            <w:tcW w:w="3416" w:type="dxa"/>
            <w:vAlign w:val="center"/>
          </w:tcPr>
          <w:p w14:paraId="630B7B7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有年度工作总结得1分，且体现逻辑性与科学性，否则不得分。</w:t>
            </w:r>
          </w:p>
        </w:tc>
        <w:tc>
          <w:tcPr>
            <w:tcW w:w="692" w:type="dxa"/>
            <w:vAlign w:val="center"/>
          </w:tcPr>
          <w:p w14:paraId="314617E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3CCC537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r>
              <w:rPr>
                <w:rFonts w:hint="eastAsia" w:ascii="宋体" w:hAnsi="宋体" w:eastAsia="宋体" w:cs="宋体"/>
                <w:color w:val="auto"/>
                <w:sz w:val="21"/>
                <w:szCs w:val="21"/>
                <w:highlight w:val="none"/>
                <w:lang w:eastAsia="zh-CN"/>
              </w:rPr>
              <w:t>实地评估</w:t>
            </w:r>
            <w:r>
              <w:rPr>
                <w:rFonts w:hint="eastAsia" w:ascii="宋体" w:hAnsi="宋体" w:eastAsia="宋体" w:cs="宋体"/>
                <w:color w:val="auto"/>
                <w:sz w:val="21"/>
                <w:szCs w:val="21"/>
                <w:highlight w:val="none"/>
              </w:rPr>
              <w:t>访谈</w:t>
            </w:r>
          </w:p>
        </w:tc>
      </w:tr>
      <w:tr w14:paraId="56B8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796" w:type="dxa"/>
            <w:vMerge w:val="continue"/>
            <w:vAlign w:val="center"/>
          </w:tcPr>
          <w:p w14:paraId="75B1559C">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177F9ED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3650BE4C">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1.3.2服务成效监测</w:t>
            </w:r>
          </w:p>
        </w:tc>
        <w:tc>
          <w:tcPr>
            <w:tcW w:w="566" w:type="dxa"/>
            <w:vAlign w:val="center"/>
          </w:tcPr>
          <w:p w14:paraId="67A39CC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207" w:type="dxa"/>
            <w:vAlign w:val="center"/>
          </w:tcPr>
          <w:p w14:paraId="7EB6D9E5">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了完善的服务成效测评机制，包括成效测评逻辑清晰、测评方法合理、测评工具有效，并能够按照测评机制开展服务成效测评工作。例如，能够在服务周期内结合满意度调查、焦点小组、座谈会、问卷调查等形式开展服务质量监控工作，并形成服务质量监控报告。</w:t>
            </w:r>
          </w:p>
        </w:tc>
        <w:tc>
          <w:tcPr>
            <w:tcW w:w="3416" w:type="dxa"/>
            <w:vAlign w:val="center"/>
          </w:tcPr>
          <w:p w14:paraId="7CB13A85">
            <w:pPr>
              <w:keepNext w:val="0"/>
              <w:keepLines w:val="0"/>
              <w:pageBreakBefore w:val="0"/>
              <w:widowControl w:val="0"/>
              <w:numPr>
                <w:ilvl w:val="0"/>
                <w:numId w:val="2"/>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有测评机制，得1分；2.开展服务成效测评，有满意度调查且科学有效得1分，有焦点小组或座谈会等得2分；</w:t>
            </w:r>
          </w:p>
          <w:p w14:paraId="27BF860A">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3.有质量监控报告得1分。</w:t>
            </w:r>
          </w:p>
        </w:tc>
        <w:tc>
          <w:tcPr>
            <w:tcW w:w="692" w:type="dxa"/>
            <w:vAlign w:val="center"/>
          </w:tcPr>
          <w:p w14:paraId="335B7B9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72EB3D9B">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r>
              <w:rPr>
                <w:rFonts w:hint="eastAsia" w:ascii="宋体" w:hAnsi="宋体" w:eastAsia="宋体" w:cs="宋体"/>
                <w:color w:val="auto"/>
                <w:sz w:val="21"/>
                <w:szCs w:val="21"/>
                <w:highlight w:val="none"/>
                <w:lang w:eastAsia="zh-CN"/>
              </w:rPr>
              <w:t>实地评估</w:t>
            </w:r>
            <w:r>
              <w:rPr>
                <w:rFonts w:hint="eastAsia" w:ascii="宋体" w:hAnsi="宋体" w:eastAsia="宋体" w:cs="宋体"/>
                <w:color w:val="auto"/>
                <w:sz w:val="21"/>
                <w:szCs w:val="21"/>
                <w:highlight w:val="none"/>
              </w:rPr>
              <w:t>访谈</w:t>
            </w:r>
          </w:p>
        </w:tc>
      </w:tr>
      <w:tr w14:paraId="21FB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796" w:type="dxa"/>
            <w:vMerge w:val="restart"/>
            <w:vAlign w:val="center"/>
          </w:tcPr>
          <w:p w14:paraId="349C8E18">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2.服务实施（23分）</w:t>
            </w:r>
          </w:p>
        </w:tc>
        <w:tc>
          <w:tcPr>
            <w:tcW w:w="808" w:type="dxa"/>
            <w:vMerge w:val="restart"/>
            <w:vAlign w:val="center"/>
          </w:tcPr>
          <w:p w14:paraId="3D6AF39F">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2.1服务规划及实施情况（15分）</w:t>
            </w:r>
          </w:p>
        </w:tc>
        <w:tc>
          <w:tcPr>
            <w:tcW w:w="761" w:type="dxa"/>
            <w:vAlign w:val="center"/>
          </w:tcPr>
          <w:p w14:paraId="14FEC758">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2.1.1服务对象需求把握</w:t>
            </w:r>
          </w:p>
        </w:tc>
        <w:tc>
          <w:tcPr>
            <w:tcW w:w="566" w:type="dxa"/>
            <w:vAlign w:val="center"/>
          </w:tcPr>
          <w:p w14:paraId="40822369">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07" w:type="dxa"/>
            <w:vAlign w:val="center"/>
          </w:tcPr>
          <w:p w14:paraId="6D3C05B0">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项目社工</w:t>
            </w:r>
            <w:r>
              <w:rPr>
                <w:rFonts w:hint="eastAsia" w:ascii="宋体" w:hAnsi="宋体" w:eastAsia="宋体" w:cs="宋体"/>
                <w:color w:val="auto"/>
                <w:sz w:val="21"/>
                <w:szCs w:val="21"/>
                <w:highlight w:val="none"/>
              </w:rPr>
              <w:t>能够通过问卷调查、访谈等多种方法科学、合理把握服务对象需求。</w:t>
            </w:r>
          </w:p>
        </w:tc>
        <w:tc>
          <w:tcPr>
            <w:tcW w:w="3416" w:type="dxa"/>
            <w:vAlign w:val="center"/>
          </w:tcPr>
          <w:p w14:paraId="0BE313A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有运用质性或量化方法得1分；</w:t>
            </w:r>
          </w:p>
          <w:p w14:paraId="76A5D64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质性、量化工具科学合理得1分；</w:t>
            </w:r>
          </w:p>
          <w:p w14:paraId="064815A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形成有质量的需求报告得1分。</w:t>
            </w:r>
          </w:p>
        </w:tc>
        <w:tc>
          <w:tcPr>
            <w:tcW w:w="692" w:type="dxa"/>
            <w:vAlign w:val="center"/>
          </w:tcPr>
          <w:p w14:paraId="1B3340D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6EA417FD">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6952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2B4A5E52">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1863D87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761" w:type="dxa"/>
            <w:vAlign w:val="center"/>
          </w:tcPr>
          <w:p w14:paraId="365DA3A1">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2.1.2工作计划合理性</w:t>
            </w:r>
          </w:p>
        </w:tc>
        <w:tc>
          <w:tcPr>
            <w:tcW w:w="566" w:type="dxa"/>
            <w:vAlign w:val="center"/>
          </w:tcPr>
          <w:p w14:paraId="4B20C8A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207" w:type="dxa"/>
            <w:vAlign w:val="center"/>
          </w:tcPr>
          <w:p w14:paraId="3AFBDFFB">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制定了服务计划，服务计划中具有明确的服务目标和相对应的服务内容，且服务目标、服务内容均能围绕需求设计。</w:t>
            </w:r>
          </w:p>
        </w:tc>
        <w:tc>
          <w:tcPr>
            <w:tcW w:w="3416" w:type="dxa"/>
            <w:vAlign w:val="center"/>
          </w:tcPr>
          <w:p w14:paraId="4DD163E3">
            <w:pPr>
              <w:keepNext w:val="0"/>
              <w:keepLines w:val="0"/>
              <w:pageBreakBefore w:val="0"/>
              <w:widowControl w:val="0"/>
              <w:numPr>
                <w:ilvl w:val="0"/>
                <w:numId w:val="3"/>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有岗位服务计划，得1分；</w:t>
            </w:r>
          </w:p>
          <w:p w14:paraId="5CA3A396">
            <w:pPr>
              <w:keepNext w:val="0"/>
              <w:keepLines w:val="0"/>
              <w:pageBreakBefore w:val="0"/>
              <w:widowControl w:val="0"/>
              <w:numPr>
                <w:ilvl w:val="0"/>
                <w:numId w:val="3"/>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服务计划中有明确、具体的服务指标和内容得2分；</w:t>
            </w:r>
          </w:p>
          <w:p w14:paraId="7CBC302A">
            <w:pPr>
              <w:keepNext w:val="0"/>
              <w:keepLines w:val="0"/>
              <w:pageBreakBefore w:val="0"/>
              <w:widowControl w:val="0"/>
              <w:numPr>
                <w:ilvl w:val="0"/>
                <w:numId w:val="3"/>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服务目标和内容能够与服务需要有效对接得2分。</w:t>
            </w:r>
          </w:p>
        </w:tc>
        <w:tc>
          <w:tcPr>
            <w:tcW w:w="692" w:type="dxa"/>
            <w:vAlign w:val="center"/>
          </w:tcPr>
          <w:p w14:paraId="30676DA1">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59007076">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4493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796" w:type="dxa"/>
            <w:vMerge w:val="continue"/>
            <w:vAlign w:val="center"/>
          </w:tcPr>
          <w:p w14:paraId="2668A04F">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04A3FE4D">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45602B2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2.1.3专业知识运用</w:t>
            </w:r>
          </w:p>
        </w:tc>
        <w:tc>
          <w:tcPr>
            <w:tcW w:w="566" w:type="dxa"/>
            <w:vAlign w:val="center"/>
          </w:tcPr>
          <w:p w14:paraId="142CA334">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07" w:type="dxa"/>
            <w:vAlign w:val="center"/>
          </w:tcPr>
          <w:p w14:paraId="3D46587F">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服务过程中能够坚持社会工作价值与伦理，且社会工作技巧、理论/理念运用较为熟练。</w:t>
            </w:r>
          </w:p>
        </w:tc>
        <w:tc>
          <w:tcPr>
            <w:tcW w:w="3416" w:type="dxa"/>
            <w:vAlign w:val="center"/>
          </w:tcPr>
          <w:p w14:paraId="3EDF079F">
            <w:pPr>
              <w:keepNext w:val="0"/>
              <w:keepLines w:val="0"/>
              <w:pageBreakBefore w:val="0"/>
              <w:widowControl w:val="0"/>
              <w:numPr>
                <w:ilvl w:val="0"/>
                <w:numId w:val="4"/>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服务痕迹中，无违背社会工作价值相关内容，如有，该项不得分；</w:t>
            </w:r>
          </w:p>
          <w:p w14:paraId="414078C5">
            <w:pPr>
              <w:keepNext w:val="0"/>
              <w:keepLines w:val="0"/>
              <w:pageBreakBefore w:val="0"/>
              <w:widowControl w:val="0"/>
              <w:numPr>
                <w:ilvl w:val="0"/>
                <w:numId w:val="4"/>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开展相关工作，符合社工价值规范，如相关理论方法运用准确，得2分；</w:t>
            </w:r>
          </w:p>
          <w:p w14:paraId="66DC6158">
            <w:pPr>
              <w:keepNext w:val="0"/>
              <w:keepLines w:val="0"/>
              <w:pageBreakBefore w:val="0"/>
              <w:widowControl w:val="0"/>
              <w:numPr>
                <w:ilvl w:val="0"/>
                <w:numId w:val="4"/>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服务项目体现社工元素或社会治理元素，得1分。</w:t>
            </w:r>
          </w:p>
        </w:tc>
        <w:tc>
          <w:tcPr>
            <w:tcW w:w="692" w:type="dxa"/>
            <w:vAlign w:val="center"/>
          </w:tcPr>
          <w:p w14:paraId="720E7681">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664F794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资料分析、社工访谈</w:t>
            </w:r>
          </w:p>
        </w:tc>
      </w:tr>
      <w:tr w14:paraId="115B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6EFDD79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25DF7494">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10C8EB74">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2.1.4服务实施规范性</w:t>
            </w:r>
          </w:p>
        </w:tc>
        <w:tc>
          <w:tcPr>
            <w:tcW w:w="566" w:type="dxa"/>
            <w:vAlign w:val="center"/>
          </w:tcPr>
          <w:p w14:paraId="7F42DC6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207" w:type="dxa"/>
            <w:vAlign w:val="center"/>
          </w:tcPr>
          <w:p w14:paraId="236FA10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服务实施中，能够按照机构制定的服务程序或行业服务规范开展，服务实施流程规范。如个案工作流程主要包括“接案、预估及建档-开案-介入-评估-转介（视情况）-结案”；</w:t>
            </w:r>
          </w:p>
          <w:p w14:paraId="6861CCDF">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组工作流程主要包括“服务需求调查-撰写小组计划书-计划书批阅与确定-组员招募与遴选-小组过程管理与记录-开展小组评估-撰写小组报告”；社区活动流程主要包括“活动方案制定-活动批准-活动前准备-活动开展-活动开展情况评估-撰写活动总结”；探访服务流程主要包括“事先取得服务对象的同意-入户探访-撰写探访记录或者建档-持续跟进”。</w:t>
            </w:r>
          </w:p>
        </w:tc>
        <w:tc>
          <w:tcPr>
            <w:tcW w:w="3416" w:type="dxa"/>
            <w:vAlign w:val="center"/>
          </w:tcPr>
          <w:p w14:paraId="6E96F13E">
            <w:pPr>
              <w:keepNext w:val="0"/>
              <w:keepLines w:val="0"/>
              <w:pageBreakBefore w:val="0"/>
              <w:widowControl w:val="0"/>
              <w:numPr>
                <w:ilvl w:val="0"/>
                <w:numId w:val="5"/>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有服务规范性制度文本得2分；</w:t>
            </w:r>
          </w:p>
          <w:p w14:paraId="5A7FDC11">
            <w:pPr>
              <w:keepNext w:val="0"/>
              <w:keepLines w:val="0"/>
              <w:pageBreakBefore w:val="0"/>
              <w:widowControl w:val="0"/>
              <w:numPr>
                <w:ilvl w:val="0"/>
                <w:numId w:val="5"/>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按行业规范开展服务得2分。</w:t>
            </w:r>
          </w:p>
        </w:tc>
        <w:tc>
          <w:tcPr>
            <w:tcW w:w="692" w:type="dxa"/>
            <w:vAlign w:val="center"/>
          </w:tcPr>
          <w:p w14:paraId="51D9FA5C">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413DC26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r>
              <w:rPr>
                <w:rFonts w:hint="eastAsia" w:ascii="宋体" w:hAnsi="宋体" w:eastAsia="宋体" w:cs="宋体"/>
                <w:color w:val="auto"/>
                <w:sz w:val="21"/>
                <w:szCs w:val="21"/>
                <w:highlight w:val="none"/>
                <w:lang w:eastAsia="zh-CN"/>
              </w:rPr>
              <w:t>实地评估</w:t>
            </w:r>
            <w:r>
              <w:rPr>
                <w:rFonts w:hint="eastAsia" w:ascii="宋体" w:hAnsi="宋体" w:eastAsia="宋体" w:cs="宋体"/>
                <w:color w:val="auto"/>
                <w:sz w:val="21"/>
                <w:szCs w:val="21"/>
                <w:highlight w:val="none"/>
              </w:rPr>
              <w:t>访谈</w:t>
            </w:r>
          </w:p>
        </w:tc>
      </w:tr>
      <w:tr w14:paraId="6D87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96" w:type="dxa"/>
            <w:vMerge w:val="continue"/>
            <w:vAlign w:val="center"/>
          </w:tcPr>
          <w:p w14:paraId="5F88413F">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restart"/>
            <w:vAlign w:val="center"/>
          </w:tcPr>
          <w:p w14:paraId="2C576F0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2.2督导与培训（6分）</w:t>
            </w:r>
          </w:p>
        </w:tc>
        <w:tc>
          <w:tcPr>
            <w:tcW w:w="761" w:type="dxa"/>
            <w:vAlign w:val="center"/>
          </w:tcPr>
          <w:p w14:paraId="75FC063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2.2.1督导支持</w:t>
            </w:r>
          </w:p>
        </w:tc>
        <w:tc>
          <w:tcPr>
            <w:tcW w:w="566" w:type="dxa"/>
            <w:vAlign w:val="center"/>
          </w:tcPr>
          <w:p w14:paraId="70EF5BB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07" w:type="dxa"/>
            <w:vAlign w:val="center"/>
          </w:tcPr>
          <w:p w14:paraId="12DC03F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机构严格按照机构制定的督导制度提供督导支持工作，及时为岗位社工提供专业、情绪、行政等方面的支持。</w:t>
            </w:r>
          </w:p>
        </w:tc>
        <w:tc>
          <w:tcPr>
            <w:tcW w:w="3416" w:type="dxa"/>
            <w:vAlign w:val="center"/>
          </w:tcPr>
          <w:p w14:paraId="27F74387">
            <w:pPr>
              <w:keepNext w:val="0"/>
              <w:keepLines w:val="0"/>
              <w:pageBreakBefore w:val="0"/>
              <w:widowControl w:val="0"/>
              <w:numPr>
                <w:ilvl w:val="0"/>
                <w:numId w:val="6"/>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有督导制度和计划，得1分；</w:t>
            </w:r>
          </w:p>
          <w:p w14:paraId="74442AE9">
            <w:pPr>
              <w:keepNext w:val="0"/>
              <w:keepLines w:val="0"/>
              <w:pageBreakBefore w:val="0"/>
              <w:widowControl w:val="0"/>
              <w:numPr>
                <w:ilvl w:val="0"/>
                <w:numId w:val="6"/>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有督导痕迹得1分；</w:t>
            </w:r>
          </w:p>
          <w:p w14:paraId="22DAFDAD">
            <w:pPr>
              <w:keepNext w:val="0"/>
              <w:keepLines w:val="0"/>
              <w:pageBreakBefore w:val="0"/>
              <w:widowControl w:val="0"/>
              <w:numPr>
                <w:ilvl w:val="0"/>
                <w:numId w:val="6"/>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督导成效明显，如督导内容专业，得1分。</w:t>
            </w:r>
          </w:p>
        </w:tc>
        <w:tc>
          <w:tcPr>
            <w:tcW w:w="692" w:type="dxa"/>
            <w:vAlign w:val="center"/>
          </w:tcPr>
          <w:p w14:paraId="02AF15A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7A7E1B8B">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r>
              <w:rPr>
                <w:rFonts w:hint="eastAsia" w:ascii="宋体" w:hAnsi="宋体" w:eastAsia="宋体" w:cs="宋体"/>
                <w:color w:val="auto"/>
                <w:sz w:val="21"/>
                <w:szCs w:val="21"/>
                <w:highlight w:val="none"/>
                <w:lang w:eastAsia="zh-CN"/>
              </w:rPr>
              <w:t>实地评估</w:t>
            </w:r>
            <w:r>
              <w:rPr>
                <w:rFonts w:hint="eastAsia" w:ascii="宋体" w:hAnsi="宋体" w:eastAsia="宋体" w:cs="宋体"/>
                <w:color w:val="auto"/>
                <w:sz w:val="21"/>
                <w:szCs w:val="21"/>
                <w:highlight w:val="none"/>
              </w:rPr>
              <w:t>访谈</w:t>
            </w:r>
          </w:p>
        </w:tc>
      </w:tr>
      <w:tr w14:paraId="7611F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53148D65">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2376D1C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78F083D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2.2.2培训情况</w:t>
            </w:r>
          </w:p>
        </w:tc>
        <w:tc>
          <w:tcPr>
            <w:tcW w:w="566" w:type="dxa"/>
            <w:vAlign w:val="center"/>
          </w:tcPr>
          <w:p w14:paraId="0F2FD53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07" w:type="dxa"/>
            <w:vAlign w:val="center"/>
          </w:tcPr>
          <w:p w14:paraId="2E2D0FD8">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机构定期组织所有岗位社工参加内部及外部交流活动，平均每个季度至少一次。如合同有规定的，按合同规定执行（一</w:t>
            </w:r>
            <w:r>
              <w:rPr>
                <w:rFonts w:hint="eastAsia" w:ascii="宋体" w:hAnsi="宋体" w:eastAsia="宋体" w:cs="宋体"/>
                <w:color w:val="auto"/>
                <w:sz w:val="21"/>
                <w:szCs w:val="21"/>
                <w:highlight w:val="none"/>
                <w:lang w:eastAsia="zh-CN"/>
              </w:rPr>
              <w:t>年服务</w:t>
            </w:r>
            <w:r>
              <w:rPr>
                <w:rFonts w:hint="eastAsia" w:ascii="宋体" w:hAnsi="宋体" w:eastAsia="宋体" w:cs="宋体"/>
                <w:color w:val="auto"/>
                <w:sz w:val="21"/>
                <w:szCs w:val="21"/>
                <w:highlight w:val="none"/>
              </w:rPr>
              <w:t>期内规定不少于20个小时）。</w:t>
            </w:r>
          </w:p>
        </w:tc>
        <w:tc>
          <w:tcPr>
            <w:tcW w:w="3416" w:type="dxa"/>
            <w:vAlign w:val="center"/>
          </w:tcPr>
          <w:p w14:paraId="6CE2A606">
            <w:pPr>
              <w:keepNext w:val="0"/>
              <w:keepLines w:val="0"/>
              <w:pageBreakBefore w:val="0"/>
              <w:widowControl w:val="0"/>
              <w:numPr>
                <w:ilvl w:val="0"/>
                <w:numId w:val="7"/>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有机构培训计划，并执行得当，得1分；</w:t>
            </w:r>
          </w:p>
          <w:p w14:paraId="6654E166">
            <w:pPr>
              <w:keepNext w:val="0"/>
              <w:keepLines w:val="0"/>
              <w:pageBreakBefore w:val="0"/>
              <w:widowControl w:val="0"/>
              <w:numPr>
                <w:ilvl w:val="0"/>
                <w:numId w:val="7"/>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开展不少于20个小时的培训，得1分，否则不得分；</w:t>
            </w:r>
          </w:p>
          <w:p w14:paraId="5BB57714">
            <w:pPr>
              <w:keepNext w:val="0"/>
              <w:keepLines w:val="0"/>
              <w:pageBreakBefore w:val="0"/>
              <w:widowControl w:val="0"/>
              <w:numPr>
                <w:ilvl w:val="0"/>
                <w:numId w:val="7"/>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有专业外部交流活动得1分。</w:t>
            </w:r>
          </w:p>
        </w:tc>
        <w:tc>
          <w:tcPr>
            <w:tcW w:w="692" w:type="dxa"/>
            <w:vAlign w:val="center"/>
          </w:tcPr>
          <w:p w14:paraId="4462EA8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6E8DF3B9">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r>
              <w:rPr>
                <w:rFonts w:hint="eastAsia" w:ascii="宋体" w:hAnsi="宋体" w:eastAsia="宋体" w:cs="宋体"/>
                <w:color w:val="auto"/>
                <w:sz w:val="21"/>
                <w:szCs w:val="21"/>
                <w:highlight w:val="none"/>
                <w:lang w:eastAsia="zh-CN"/>
              </w:rPr>
              <w:t>实地评估</w:t>
            </w:r>
            <w:r>
              <w:rPr>
                <w:rFonts w:hint="eastAsia" w:ascii="宋体" w:hAnsi="宋体" w:eastAsia="宋体" w:cs="宋体"/>
                <w:color w:val="auto"/>
                <w:sz w:val="21"/>
                <w:szCs w:val="21"/>
                <w:highlight w:val="none"/>
              </w:rPr>
              <w:t>访谈</w:t>
            </w:r>
          </w:p>
        </w:tc>
      </w:tr>
      <w:tr w14:paraId="6EF6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3A9F48E1">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Align w:val="center"/>
          </w:tcPr>
          <w:p w14:paraId="483A70E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2.3志愿者队伍管理（2分）</w:t>
            </w:r>
          </w:p>
        </w:tc>
        <w:tc>
          <w:tcPr>
            <w:tcW w:w="761" w:type="dxa"/>
            <w:vAlign w:val="center"/>
          </w:tcPr>
          <w:p w14:paraId="29BD02F1">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2.3.1志愿者队伍管理制度与执行</w:t>
            </w:r>
          </w:p>
        </w:tc>
        <w:tc>
          <w:tcPr>
            <w:tcW w:w="566" w:type="dxa"/>
            <w:vAlign w:val="center"/>
          </w:tcPr>
          <w:p w14:paraId="24D0EE5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2F2C9883">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建立了完善的志愿者服务队伍管理制度，且有效执行。</w:t>
            </w:r>
          </w:p>
        </w:tc>
        <w:tc>
          <w:tcPr>
            <w:tcW w:w="3416" w:type="dxa"/>
            <w:vAlign w:val="center"/>
          </w:tcPr>
          <w:p w14:paraId="1713AA4A">
            <w:pPr>
              <w:keepNext w:val="0"/>
              <w:keepLines w:val="0"/>
              <w:pageBreakBefore w:val="0"/>
              <w:widowControl w:val="0"/>
              <w:numPr>
                <w:ilvl w:val="0"/>
                <w:numId w:val="8"/>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有项目点的志愿服务管理制度得1分；</w:t>
            </w:r>
          </w:p>
          <w:p w14:paraId="0F62F042">
            <w:pPr>
              <w:keepNext w:val="0"/>
              <w:keepLines w:val="0"/>
              <w:pageBreakBefore w:val="0"/>
              <w:widowControl w:val="0"/>
              <w:numPr>
                <w:ilvl w:val="0"/>
                <w:numId w:val="8"/>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有志愿者队伍，且能够合理利用志愿者资源，得1分。</w:t>
            </w:r>
          </w:p>
        </w:tc>
        <w:tc>
          <w:tcPr>
            <w:tcW w:w="692" w:type="dxa"/>
            <w:vAlign w:val="center"/>
          </w:tcPr>
          <w:p w14:paraId="5EEBC099">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02DCEE5D">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5314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restart"/>
            <w:vAlign w:val="center"/>
          </w:tcPr>
          <w:p w14:paraId="0307CA43">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3.服务产出与成效（53分）</w:t>
            </w:r>
          </w:p>
        </w:tc>
        <w:tc>
          <w:tcPr>
            <w:tcW w:w="808" w:type="dxa"/>
            <w:vMerge w:val="restart"/>
            <w:vAlign w:val="center"/>
          </w:tcPr>
          <w:p w14:paraId="526D91D7">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3.1服务产出（8分）</w:t>
            </w:r>
          </w:p>
        </w:tc>
        <w:tc>
          <w:tcPr>
            <w:tcW w:w="761" w:type="dxa"/>
            <w:vAlign w:val="center"/>
          </w:tcPr>
          <w:p w14:paraId="7E0DE752">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3.1.1服务内容实现情况</w:t>
            </w:r>
          </w:p>
        </w:tc>
        <w:tc>
          <w:tcPr>
            <w:tcW w:w="566" w:type="dxa"/>
            <w:vAlign w:val="center"/>
          </w:tcPr>
          <w:p w14:paraId="7F44BF7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207" w:type="dxa"/>
            <w:vAlign w:val="center"/>
          </w:tcPr>
          <w:p w14:paraId="3CD3D001">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按照合同规定的各项服务内容开展各项工作。</w:t>
            </w:r>
          </w:p>
        </w:tc>
        <w:tc>
          <w:tcPr>
            <w:tcW w:w="3416" w:type="dxa"/>
            <w:vAlign w:val="center"/>
          </w:tcPr>
          <w:p w14:paraId="2562A5B4">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根据合同指标，完成合同规定的各项工作，得4分。</w:t>
            </w:r>
          </w:p>
        </w:tc>
        <w:tc>
          <w:tcPr>
            <w:tcW w:w="692" w:type="dxa"/>
            <w:vAlign w:val="center"/>
          </w:tcPr>
          <w:p w14:paraId="10DB86BF">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07A0CCB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388E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27D08013">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4559F0CF">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3C44D86B">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3.1.2服务工作量完成情况</w:t>
            </w:r>
          </w:p>
        </w:tc>
        <w:tc>
          <w:tcPr>
            <w:tcW w:w="566" w:type="dxa"/>
            <w:vAlign w:val="center"/>
          </w:tcPr>
          <w:p w14:paraId="65663232">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207" w:type="dxa"/>
            <w:vAlign w:val="center"/>
          </w:tcPr>
          <w:p w14:paraId="66773FE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完成合同服务工作量的100%及以上，未能完成的，每降低1个百分点，扣0.1分，扣完为止。</w:t>
            </w:r>
          </w:p>
        </w:tc>
        <w:tc>
          <w:tcPr>
            <w:tcW w:w="3416" w:type="dxa"/>
            <w:vAlign w:val="center"/>
          </w:tcPr>
          <w:p w14:paraId="32336C3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176D277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5ADE3A9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646D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1AC05264">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restart"/>
            <w:vAlign w:val="center"/>
          </w:tcPr>
          <w:p w14:paraId="71FAB7B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3.2服务成效（10分）</w:t>
            </w:r>
          </w:p>
        </w:tc>
        <w:tc>
          <w:tcPr>
            <w:tcW w:w="761" w:type="dxa"/>
            <w:vAlign w:val="center"/>
          </w:tcPr>
          <w:p w14:paraId="6A66F710">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3.2.1目标达成情况</w:t>
            </w:r>
          </w:p>
        </w:tc>
        <w:tc>
          <w:tcPr>
            <w:tcW w:w="566" w:type="dxa"/>
            <w:vAlign w:val="center"/>
          </w:tcPr>
          <w:p w14:paraId="0ED89C4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3207" w:type="dxa"/>
            <w:vAlign w:val="center"/>
          </w:tcPr>
          <w:p w14:paraId="75E01278">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根据年度计划，考评年度计划中质性工作计划目标/目的达成情况。其中，质性工作目标/目的往往与服务对象或者社区的改变有关。</w:t>
            </w:r>
          </w:p>
        </w:tc>
        <w:tc>
          <w:tcPr>
            <w:tcW w:w="3416" w:type="dxa"/>
            <w:vAlign w:val="center"/>
          </w:tcPr>
          <w:p w14:paraId="234A275C">
            <w:pPr>
              <w:keepNext w:val="0"/>
              <w:keepLines w:val="0"/>
              <w:pageBreakBefore w:val="0"/>
              <w:widowControl w:val="0"/>
              <w:numPr>
                <w:ilvl w:val="0"/>
                <w:numId w:val="9"/>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项目工作能够取得社会效益，得2分；</w:t>
            </w:r>
          </w:p>
          <w:p w14:paraId="1A64D6BC">
            <w:pPr>
              <w:keepNext w:val="0"/>
              <w:keepLines w:val="0"/>
              <w:pageBreakBefore w:val="0"/>
              <w:widowControl w:val="0"/>
              <w:numPr>
                <w:ilvl w:val="0"/>
                <w:numId w:val="9"/>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能够与社会治理、市域治理等国家相关政策衔接，得2分；</w:t>
            </w:r>
          </w:p>
          <w:p w14:paraId="65138AF8">
            <w:pPr>
              <w:keepNext w:val="0"/>
              <w:keepLines w:val="0"/>
              <w:pageBreakBefore w:val="0"/>
              <w:widowControl w:val="0"/>
              <w:numPr>
                <w:ilvl w:val="0"/>
                <w:numId w:val="9"/>
              </w:numPr>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推动社区、服务对象改变得2分。</w:t>
            </w:r>
          </w:p>
        </w:tc>
        <w:tc>
          <w:tcPr>
            <w:tcW w:w="692" w:type="dxa"/>
            <w:vAlign w:val="center"/>
          </w:tcPr>
          <w:p w14:paraId="084D86EC">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0CF015BB">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r>
              <w:rPr>
                <w:rFonts w:hint="eastAsia" w:ascii="宋体" w:hAnsi="宋体" w:eastAsia="宋体" w:cs="宋体"/>
                <w:color w:val="auto"/>
                <w:sz w:val="21"/>
                <w:szCs w:val="21"/>
                <w:highlight w:val="none"/>
                <w:lang w:eastAsia="zh-CN"/>
              </w:rPr>
              <w:t>实地评估</w:t>
            </w:r>
            <w:r>
              <w:rPr>
                <w:rFonts w:hint="eastAsia" w:ascii="宋体" w:hAnsi="宋体" w:eastAsia="宋体" w:cs="宋体"/>
                <w:color w:val="auto"/>
                <w:sz w:val="21"/>
                <w:szCs w:val="21"/>
                <w:highlight w:val="none"/>
              </w:rPr>
              <w:t>访谈</w:t>
            </w:r>
          </w:p>
        </w:tc>
      </w:tr>
      <w:tr w14:paraId="0E94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atLeast"/>
        </w:trPr>
        <w:tc>
          <w:tcPr>
            <w:tcW w:w="796" w:type="dxa"/>
            <w:vMerge w:val="continue"/>
            <w:vAlign w:val="center"/>
          </w:tcPr>
          <w:p w14:paraId="0842F84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4192973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36523CB5">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3.2.2服务范围</w:t>
            </w:r>
          </w:p>
        </w:tc>
        <w:tc>
          <w:tcPr>
            <w:tcW w:w="566" w:type="dxa"/>
            <w:vAlign w:val="center"/>
          </w:tcPr>
          <w:p w14:paraId="7CA15D3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4DC807C2">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服务地域范围以及服务人群与合同要求一致，未出现偏离。</w:t>
            </w:r>
          </w:p>
        </w:tc>
        <w:tc>
          <w:tcPr>
            <w:tcW w:w="3416" w:type="dxa"/>
            <w:vAlign w:val="center"/>
          </w:tcPr>
          <w:p w14:paraId="601BE52B">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26A7AC01">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01E2653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0477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796" w:type="dxa"/>
            <w:vMerge w:val="continue"/>
            <w:vAlign w:val="center"/>
          </w:tcPr>
          <w:p w14:paraId="7C7D8DE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47F2F877">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75801C42">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3.2.3服务覆盖</w:t>
            </w:r>
          </w:p>
        </w:tc>
        <w:tc>
          <w:tcPr>
            <w:tcW w:w="566" w:type="dxa"/>
            <w:vAlign w:val="center"/>
          </w:tcPr>
          <w:p w14:paraId="3A3A2BCB">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3E8F518B">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根据合同要求，服务能覆盖到所有服务区域/人群。</w:t>
            </w:r>
          </w:p>
        </w:tc>
        <w:tc>
          <w:tcPr>
            <w:tcW w:w="3416" w:type="dxa"/>
            <w:vAlign w:val="center"/>
          </w:tcPr>
          <w:p w14:paraId="5EF29124">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6EA984AF">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671B9937">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6C8C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79E9E1FB">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restart"/>
            <w:vAlign w:val="center"/>
          </w:tcPr>
          <w:p w14:paraId="4EAEB183">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3.3多方主体评价（35）</w:t>
            </w:r>
          </w:p>
        </w:tc>
        <w:tc>
          <w:tcPr>
            <w:tcW w:w="761" w:type="dxa"/>
            <w:vAlign w:val="center"/>
          </w:tcPr>
          <w:p w14:paraId="1E8CFB54">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3.3.1服务对象评价</w:t>
            </w:r>
          </w:p>
        </w:tc>
        <w:tc>
          <w:tcPr>
            <w:tcW w:w="566" w:type="dxa"/>
            <w:vAlign w:val="center"/>
          </w:tcPr>
          <w:p w14:paraId="01F9411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3207" w:type="dxa"/>
            <w:vAlign w:val="center"/>
          </w:tcPr>
          <w:p w14:paraId="62A90B7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通过抽样的方式对服务对象进行电话访谈，了解服务对象对服务获得便捷性、服务沟通有效性、服务满意度以及服务成效等方面内容的评价。</w:t>
            </w:r>
          </w:p>
        </w:tc>
        <w:tc>
          <w:tcPr>
            <w:tcW w:w="3416" w:type="dxa"/>
            <w:vAlign w:val="center"/>
          </w:tcPr>
          <w:p w14:paraId="6F94261A">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7C3742AB">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66929BD9">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服务对象访谈</w:t>
            </w:r>
          </w:p>
        </w:tc>
      </w:tr>
      <w:tr w14:paraId="6AC0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41C62900">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0256C149">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14FD48BC">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3.3.2服务使用单位评价</w:t>
            </w:r>
          </w:p>
        </w:tc>
        <w:tc>
          <w:tcPr>
            <w:tcW w:w="566" w:type="dxa"/>
            <w:vAlign w:val="center"/>
          </w:tcPr>
          <w:p w14:paraId="5964B2D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3207" w:type="dxa"/>
            <w:vAlign w:val="center"/>
          </w:tcPr>
          <w:p w14:paraId="7100185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结合深入访谈、问卷调查等方式收集服务使用单位的评价。了解服务使用单位对社工与服务使用单位的沟通情况、服务质量、服务专业性、服务成效、服务内容与需求切合度等方面内容的评价。</w:t>
            </w:r>
          </w:p>
        </w:tc>
        <w:tc>
          <w:tcPr>
            <w:tcW w:w="3416" w:type="dxa"/>
            <w:vAlign w:val="center"/>
          </w:tcPr>
          <w:p w14:paraId="78BB1F4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3FBC1DF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0E869222">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服务使用单位访谈</w:t>
            </w:r>
          </w:p>
        </w:tc>
      </w:tr>
      <w:tr w14:paraId="0F2E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4E344C40">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4714717D">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61563AD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3.3.3其他利益方评价</w:t>
            </w:r>
          </w:p>
        </w:tc>
        <w:tc>
          <w:tcPr>
            <w:tcW w:w="566" w:type="dxa"/>
            <w:vAlign w:val="center"/>
          </w:tcPr>
          <w:p w14:paraId="1971E93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07" w:type="dxa"/>
            <w:vAlign w:val="center"/>
          </w:tcPr>
          <w:p w14:paraId="4F844EBC">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通过电话访谈的方式收集除服务对象、服务使用单位的其他利益相关方的评价。了解其他利益相关方对岗位社工的服务方式、服务内容及服务成效等方面的评价。</w:t>
            </w:r>
          </w:p>
        </w:tc>
        <w:tc>
          <w:tcPr>
            <w:tcW w:w="3416" w:type="dxa"/>
            <w:vAlign w:val="center"/>
          </w:tcPr>
          <w:p w14:paraId="03FC6B9C">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0348269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6A9E931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其他利益相关方访谈</w:t>
            </w:r>
          </w:p>
        </w:tc>
      </w:tr>
      <w:tr w14:paraId="04B2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3F4A8934">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79C6A98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p>
        </w:tc>
        <w:tc>
          <w:tcPr>
            <w:tcW w:w="761" w:type="dxa"/>
            <w:vAlign w:val="center"/>
          </w:tcPr>
          <w:p w14:paraId="6C35DB0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3.3.4媒体正面评价</w:t>
            </w:r>
          </w:p>
        </w:tc>
        <w:tc>
          <w:tcPr>
            <w:tcW w:w="566" w:type="dxa"/>
            <w:vAlign w:val="center"/>
          </w:tcPr>
          <w:p w14:paraId="3057CF40">
            <w:pPr>
              <w:keepNext w:val="0"/>
              <w:keepLines w:val="0"/>
              <w:pageBreakBefore w:val="0"/>
              <w:widowControl w:val="0"/>
              <w:kinsoku/>
              <w:wordWrap/>
              <w:overflowPunct/>
              <w:topLinePunct w:val="0"/>
              <w:bidi w:val="0"/>
              <w:adjustRightInd/>
              <w:snapToGrid w:val="0"/>
              <w:spacing w:line="240"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3207" w:type="dxa"/>
            <w:vAlign w:val="center"/>
          </w:tcPr>
          <w:p w14:paraId="1FD79713">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镇级以上公共媒体（即报刊、杂志、电视、广播、网络等）对岗位开展的社会工作专业服务进行了多次正面报道。国家级，1分/篇；省级，0.5分/篇；市级，0.3分/篇；镇级，0.2分/篇。以上分值可累计，最高不超过</w:t>
            </w: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分。</w:t>
            </w:r>
          </w:p>
        </w:tc>
        <w:tc>
          <w:tcPr>
            <w:tcW w:w="3416" w:type="dxa"/>
            <w:vAlign w:val="center"/>
          </w:tcPr>
          <w:p w14:paraId="363434F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539ADBB6">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4C8335B4">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09D9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restart"/>
            <w:vAlign w:val="center"/>
          </w:tcPr>
          <w:p w14:paraId="606237C5">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4.财务管理（6分）</w:t>
            </w:r>
          </w:p>
        </w:tc>
        <w:tc>
          <w:tcPr>
            <w:tcW w:w="1569" w:type="dxa"/>
            <w:gridSpan w:val="2"/>
            <w:vAlign w:val="center"/>
          </w:tcPr>
          <w:p w14:paraId="6B580A5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4.1会计科目分类设置规范</w:t>
            </w:r>
          </w:p>
        </w:tc>
        <w:tc>
          <w:tcPr>
            <w:tcW w:w="566" w:type="dxa"/>
            <w:vAlign w:val="center"/>
          </w:tcPr>
          <w:p w14:paraId="203FE022">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07" w:type="dxa"/>
            <w:vAlign w:val="center"/>
          </w:tcPr>
          <w:p w14:paraId="6EBE324A">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会计科目设置规范。</w:t>
            </w:r>
          </w:p>
        </w:tc>
        <w:tc>
          <w:tcPr>
            <w:tcW w:w="3416" w:type="dxa"/>
            <w:vAlign w:val="center"/>
          </w:tcPr>
          <w:p w14:paraId="6372D87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3DB2ED32">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62AF3631">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25A3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421BB48F">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1569" w:type="dxa"/>
            <w:gridSpan w:val="2"/>
            <w:vAlign w:val="center"/>
          </w:tcPr>
          <w:p w14:paraId="1B494C6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4.2各类票据使用规范</w:t>
            </w:r>
          </w:p>
        </w:tc>
        <w:tc>
          <w:tcPr>
            <w:tcW w:w="566" w:type="dxa"/>
            <w:vAlign w:val="center"/>
          </w:tcPr>
          <w:p w14:paraId="4BECA58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07" w:type="dxa"/>
            <w:vAlign w:val="center"/>
          </w:tcPr>
          <w:p w14:paraId="3B96637B">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项目需严格做好各类票据的使用，确保票据使用规范。</w:t>
            </w:r>
          </w:p>
        </w:tc>
        <w:tc>
          <w:tcPr>
            <w:tcW w:w="3416" w:type="dxa"/>
            <w:vAlign w:val="center"/>
          </w:tcPr>
          <w:p w14:paraId="1CC16864">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28AD9771">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73FB41FB">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788A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598A9033">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1569" w:type="dxa"/>
            <w:gridSpan w:val="2"/>
            <w:vAlign w:val="center"/>
          </w:tcPr>
          <w:p w14:paraId="005C2D68">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4.3账簿账目记录清晰，账目记录与资金实际支出一致</w:t>
            </w:r>
          </w:p>
        </w:tc>
        <w:tc>
          <w:tcPr>
            <w:tcW w:w="566" w:type="dxa"/>
            <w:vAlign w:val="center"/>
          </w:tcPr>
          <w:p w14:paraId="11441F9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07" w:type="dxa"/>
            <w:vAlign w:val="center"/>
          </w:tcPr>
          <w:p w14:paraId="661623F2">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账簿账目记录清晰，账目记录与资金实际支出一致。</w:t>
            </w:r>
          </w:p>
        </w:tc>
        <w:tc>
          <w:tcPr>
            <w:tcW w:w="3416" w:type="dxa"/>
            <w:vAlign w:val="center"/>
          </w:tcPr>
          <w:p w14:paraId="64A9F85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0B33F954">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5067F82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4611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6AF86025">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1569" w:type="dxa"/>
            <w:gridSpan w:val="2"/>
            <w:vAlign w:val="center"/>
          </w:tcPr>
          <w:p w14:paraId="3292F18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4.4预核算管理</w:t>
            </w:r>
          </w:p>
        </w:tc>
        <w:tc>
          <w:tcPr>
            <w:tcW w:w="566" w:type="dxa"/>
            <w:vAlign w:val="center"/>
          </w:tcPr>
          <w:p w14:paraId="0E5A185C">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07" w:type="dxa"/>
            <w:vAlign w:val="center"/>
          </w:tcPr>
          <w:p w14:paraId="2EA3DFA3">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能够做好经费的预算及核算管理，并按照预算合理支出各类费用。</w:t>
            </w:r>
          </w:p>
        </w:tc>
        <w:tc>
          <w:tcPr>
            <w:tcW w:w="3416" w:type="dxa"/>
            <w:vAlign w:val="center"/>
          </w:tcPr>
          <w:p w14:paraId="3858EF9C">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2FD7A6A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5F2E66D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471B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0C1B0290">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1569" w:type="dxa"/>
            <w:gridSpan w:val="2"/>
            <w:vAlign w:val="center"/>
          </w:tcPr>
          <w:p w14:paraId="562C52A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4.5资金专款专用</w:t>
            </w:r>
          </w:p>
        </w:tc>
        <w:tc>
          <w:tcPr>
            <w:tcW w:w="566" w:type="dxa"/>
            <w:vAlign w:val="center"/>
          </w:tcPr>
          <w:p w14:paraId="55BF0C1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07" w:type="dxa"/>
            <w:vAlign w:val="center"/>
          </w:tcPr>
          <w:p w14:paraId="2AF4CC3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资金需专款专用，如果出现资金违规使用，扣除财务部分全部分值。</w:t>
            </w:r>
          </w:p>
        </w:tc>
        <w:tc>
          <w:tcPr>
            <w:tcW w:w="3416" w:type="dxa"/>
            <w:vAlign w:val="center"/>
          </w:tcPr>
          <w:p w14:paraId="7A93964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4EBFF094">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7C2DF8EE">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290C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6" w:type="dxa"/>
            <w:vMerge w:val="restart"/>
            <w:vAlign w:val="center"/>
          </w:tcPr>
          <w:p w14:paraId="467A9015">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5.附加指标</w:t>
            </w:r>
          </w:p>
        </w:tc>
        <w:tc>
          <w:tcPr>
            <w:tcW w:w="808" w:type="dxa"/>
            <w:vMerge w:val="restart"/>
            <w:vAlign w:val="center"/>
          </w:tcPr>
          <w:p w14:paraId="7516F62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5.1加分项（</w:t>
            </w:r>
            <w:r>
              <w:rPr>
                <w:rFonts w:hint="eastAsia" w:ascii="宋体" w:hAnsi="宋体" w:eastAsia="宋体" w:cs="宋体"/>
                <w:color w:val="auto"/>
                <w:sz w:val="21"/>
                <w:szCs w:val="21"/>
                <w:highlight w:val="none"/>
                <w:lang w:eastAsia="zh-CN"/>
              </w:rPr>
              <w:t>19</w:t>
            </w:r>
            <w:r>
              <w:rPr>
                <w:rFonts w:hint="eastAsia" w:ascii="宋体" w:hAnsi="宋体" w:eastAsia="宋体" w:cs="宋体"/>
                <w:color w:val="auto"/>
                <w:sz w:val="21"/>
                <w:szCs w:val="21"/>
                <w:highlight w:val="none"/>
              </w:rPr>
              <w:t>分）</w:t>
            </w:r>
          </w:p>
        </w:tc>
        <w:tc>
          <w:tcPr>
            <w:tcW w:w="761" w:type="dxa"/>
            <w:vAlign w:val="center"/>
          </w:tcPr>
          <w:p w14:paraId="7929A19A">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5.1.1特色/创新服务工作</w:t>
            </w:r>
          </w:p>
        </w:tc>
        <w:tc>
          <w:tcPr>
            <w:tcW w:w="566" w:type="dxa"/>
            <w:vAlign w:val="center"/>
          </w:tcPr>
          <w:p w14:paraId="40140BB4">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07" w:type="dxa"/>
          </w:tcPr>
          <w:p w14:paraId="3B80145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服务点能够结合岗位实际开展了一定的特色/创新服务工作，且上述评估指标均未能覆盖到的，并能提供材料证明服务所产生的效果。</w:t>
            </w:r>
          </w:p>
          <w:p w14:paraId="0DA4F04A">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服务开展与社会治理、市域治理等结合，取得成效，得3分。</w:t>
            </w:r>
          </w:p>
        </w:tc>
        <w:tc>
          <w:tcPr>
            <w:tcW w:w="3416" w:type="dxa"/>
            <w:vAlign w:val="center"/>
          </w:tcPr>
          <w:p w14:paraId="5C7092D4">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60CF148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2BFAB88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0934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796" w:type="dxa"/>
            <w:vMerge w:val="continue"/>
            <w:vAlign w:val="center"/>
          </w:tcPr>
          <w:p w14:paraId="1800466D">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Merge w:val="continue"/>
            <w:vAlign w:val="center"/>
          </w:tcPr>
          <w:p w14:paraId="69A28E56">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761" w:type="dxa"/>
            <w:vAlign w:val="center"/>
          </w:tcPr>
          <w:p w14:paraId="7A7C4DB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5.1.2项目评价</w:t>
            </w:r>
          </w:p>
        </w:tc>
        <w:tc>
          <w:tcPr>
            <w:tcW w:w="566" w:type="dxa"/>
            <w:vAlign w:val="center"/>
          </w:tcPr>
          <w:p w14:paraId="0810CE92">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w:t>
            </w:r>
          </w:p>
        </w:tc>
        <w:tc>
          <w:tcPr>
            <w:tcW w:w="3207" w:type="dxa"/>
            <w:vAlign w:val="center"/>
          </w:tcPr>
          <w:p w14:paraId="45259A2C">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以项目为蓝本获得街道级优秀得2分，市级4分，省级8分，国家级16分。</w:t>
            </w:r>
          </w:p>
          <w:p w14:paraId="4397CEA0">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另以本项目为案例在公开出版刊物中发表文章者，一篇得3分，最高不超过6分。</w:t>
            </w:r>
          </w:p>
        </w:tc>
        <w:tc>
          <w:tcPr>
            <w:tcW w:w="3416" w:type="dxa"/>
            <w:vAlign w:val="center"/>
          </w:tcPr>
          <w:p w14:paraId="378E8ED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5812646F">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334CFD6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w:t>
            </w:r>
          </w:p>
        </w:tc>
      </w:tr>
      <w:tr w14:paraId="701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4ACEDA2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Align w:val="center"/>
          </w:tcPr>
          <w:p w14:paraId="3257778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5.2扣分项</w:t>
            </w:r>
          </w:p>
        </w:tc>
        <w:tc>
          <w:tcPr>
            <w:tcW w:w="761" w:type="dxa"/>
            <w:vAlign w:val="center"/>
          </w:tcPr>
          <w:p w14:paraId="719197F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有效投诉</w:t>
            </w:r>
          </w:p>
        </w:tc>
        <w:tc>
          <w:tcPr>
            <w:tcW w:w="566" w:type="dxa"/>
            <w:vAlign w:val="center"/>
          </w:tcPr>
          <w:p w14:paraId="51F0961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3207" w:type="dxa"/>
            <w:vAlign w:val="center"/>
          </w:tcPr>
          <w:p w14:paraId="4B6F456E">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指评估组在评估期间有收到相关方的投诉，经查证投诉情况属实且主要过错方为岗位工作人员的，针对每起投诉事件，扣除项目总分5分。</w:t>
            </w:r>
          </w:p>
        </w:tc>
        <w:tc>
          <w:tcPr>
            <w:tcW w:w="3416" w:type="dxa"/>
            <w:vAlign w:val="center"/>
          </w:tcPr>
          <w:p w14:paraId="073BB208">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16E6AE90">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服务对象+服务使用单位</w:t>
            </w:r>
          </w:p>
        </w:tc>
        <w:tc>
          <w:tcPr>
            <w:tcW w:w="761" w:type="dxa"/>
            <w:vAlign w:val="center"/>
          </w:tcPr>
          <w:p w14:paraId="78871595">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服务对象以及服务使用单位访谈</w:t>
            </w:r>
          </w:p>
        </w:tc>
      </w:tr>
      <w:tr w14:paraId="43D0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vMerge w:val="continue"/>
            <w:vAlign w:val="center"/>
          </w:tcPr>
          <w:p w14:paraId="4F01D559">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808" w:type="dxa"/>
            <w:vAlign w:val="center"/>
          </w:tcPr>
          <w:p w14:paraId="78AB9EB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5.3一票否决</w:t>
            </w:r>
          </w:p>
        </w:tc>
        <w:tc>
          <w:tcPr>
            <w:tcW w:w="761" w:type="dxa"/>
            <w:vAlign w:val="center"/>
          </w:tcPr>
          <w:p w14:paraId="0CE206E5">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诚信参评</w:t>
            </w:r>
          </w:p>
        </w:tc>
        <w:tc>
          <w:tcPr>
            <w:tcW w:w="566" w:type="dxa"/>
            <w:vAlign w:val="center"/>
          </w:tcPr>
          <w:p w14:paraId="43903D9A">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3207" w:type="dxa"/>
            <w:vAlign w:val="center"/>
          </w:tcPr>
          <w:p w14:paraId="6944CFDA">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指参评社工</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必须提供客观、真实的资料和数据。如以欺诈、隐瞒、提供不实数据等手段参与评估的社工岗位，一经查证，将对岗位的运作进行一票否决。</w:t>
            </w:r>
          </w:p>
        </w:tc>
        <w:tc>
          <w:tcPr>
            <w:tcW w:w="3416" w:type="dxa"/>
            <w:vAlign w:val="center"/>
          </w:tcPr>
          <w:p w14:paraId="6265CE37">
            <w:pPr>
              <w:keepNext w:val="0"/>
              <w:keepLines w:val="0"/>
              <w:pageBreakBefore w:val="0"/>
              <w:widowControl w:val="0"/>
              <w:kinsoku/>
              <w:wordWrap/>
              <w:overflowPunct/>
              <w:topLinePunct w:val="0"/>
              <w:bidi w:val="0"/>
              <w:adjustRightInd/>
              <w:snapToGrid w:val="0"/>
              <w:spacing w:line="240" w:lineRule="auto"/>
              <w:textAlignment w:val="auto"/>
              <w:rPr>
                <w:rFonts w:hint="eastAsia" w:ascii="宋体" w:hAnsi="宋体" w:eastAsia="宋体" w:cs="宋体"/>
                <w:color w:val="auto"/>
                <w:sz w:val="21"/>
                <w:szCs w:val="21"/>
                <w:highlight w:val="none"/>
              </w:rPr>
            </w:pPr>
          </w:p>
        </w:tc>
        <w:tc>
          <w:tcPr>
            <w:tcW w:w="692" w:type="dxa"/>
            <w:vAlign w:val="center"/>
          </w:tcPr>
          <w:p w14:paraId="29CA2623">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评估组</w:t>
            </w:r>
          </w:p>
        </w:tc>
        <w:tc>
          <w:tcPr>
            <w:tcW w:w="761" w:type="dxa"/>
            <w:vAlign w:val="center"/>
          </w:tcPr>
          <w:p w14:paraId="4F1F9CB8">
            <w:pPr>
              <w:keepNext w:val="0"/>
              <w:keepLines w:val="0"/>
              <w:pageBreakBefore w:val="0"/>
              <w:widowControl w:val="0"/>
              <w:kinsoku/>
              <w:wordWrap/>
              <w:overflowPunct/>
              <w:topLinePunct w:val="0"/>
              <w:bidi w:val="0"/>
              <w:adjustRightInd/>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资料分析、社工访谈</w:t>
            </w:r>
          </w:p>
        </w:tc>
      </w:tr>
    </w:tbl>
    <w:p w14:paraId="79A076E2">
      <w:pPr>
        <w:pStyle w:val="5"/>
        <w:keepNext w:val="0"/>
        <w:keepLines w:val="0"/>
        <w:pageBreakBefore w:val="0"/>
        <w:widowControl w:val="0"/>
        <w:kinsoku/>
        <w:wordWrap/>
        <w:overflowPunct/>
        <w:topLinePunct w:val="0"/>
        <w:bidi w:val="0"/>
        <w:adjustRightInd/>
        <w:snapToGrid w:val="0"/>
        <w:spacing w:after="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备注：第三方评估指标体系以第三方具体通知要求为准；如乙方在综合评估中得分低于70分时，将被认定为未通过本次评估考核。</w:t>
      </w:r>
    </w:p>
    <w:p w14:paraId="7C89A323">
      <w:pPr>
        <w:rPr>
          <w:rFonts w:hint="eastAsia" w:ascii="宋体" w:hAnsi="宋体" w:eastAsia="宋体" w:cs="宋体"/>
          <w:color w:val="auto"/>
          <w:highlight w:val="none"/>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C7AF83E-5326-4A19-8902-B90962B2C4D8}"/>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8F1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0E61D">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C0E61D">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94A76"/>
    <w:multiLevelType w:val="singleLevel"/>
    <w:tmpl w:val="83794A76"/>
    <w:lvl w:ilvl="0" w:tentative="0">
      <w:start w:val="1"/>
      <w:numFmt w:val="decimal"/>
      <w:lvlText w:val="%1."/>
      <w:lvlJc w:val="left"/>
      <w:pPr>
        <w:tabs>
          <w:tab w:val="left" w:pos="312"/>
        </w:tabs>
      </w:pPr>
    </w:lvl>
  </w:abstractNum>
  <w:abstractNum w:abstractNumId="1">
    <w:nsid w:val="A2E6C5BE"/>
    <w:multiLevelType w:val="singleLevel"/>
    <w:tmpl w:val="A2E6C5BE"/>
    <w:lvl w:ilvl="0" w:tentative="0">
      <w:start w:val="1"/>
      <w:numFmt w:val="decimal"/>
      <w:lvlText w:val="%1."/>
      <w:lvlJc w:val="left"/>
      <w:pPr>
        <w:tabs>
          <w:tab w:val="left" w:pos="312"/>
        </w:tabs>
      </w:pPr>
    </w:lvl>
  </w:abstractNum>
  <w:abstractNum w:abstractNumId="2">
    <w:nsid w:val="B45C3C87"/>
    <w:multiLevelType w:val="singleLevel"/>
    <w:tmpl w:val="B45C3C87"/>
    <w:lvl w:ilvl="0" w:tentative="0">
      <w:start w:val="1"/>
      <w:numFmt w:val="decimal"/>
      <w:lvlText w:val="%1."/>
      <w:lvlJc w:val="left"/>
      <w:pPr>
        <w:tabs>
          <w:tab w:val="left" w:pos="312"/>
        </w:tabs>
      </w:pPr>
    </w:lvl>
  </w:abstractNum>
  <w:abstractNum w:abstractNumId="3">
    <w:nsid w:val="E4AF9522"/>
    <w:multiLevelType w:val="singleLevel"/>
    <w:tmpl w:val="E4AF9522"/>
    <w:lvl w:ilvl="0" w:tentative="0">
      <w:start w:val="1"/>
      <w:numFmt w:val="decimal"/>
      <w:lvlText w:val="%1."/>
      <w:lvlJc w:val="left"/>
      <w:pPr>
        <w:tabs>
          <w:tab w:val="left" w:pos="312"/>
        </w:tabs>
      </w:pPr>
    </w:lvl>
  </w:abstractNum>
  <w:abstractNum w:abstractNumId="4">
    <w:nsid w:val="ED501B00"/>
    <w:multiLevelType w:val="singleLevel"/>
    <w:tmpl w:val="ED501B00"/>
    <w:lvl w:ilvl="0" w:tentative="0">
      <w:start w:val="1"/>
      <w:numFmt w:val="decimal"/>
      <w:lvlText w:val="%1."/>
      <w:lvlJc w:val="left"/>
      <w:pPr>
        <w:tabs>
          <w:tab w:val="left" w:pos="312"/>
        </w:tabs>
      </w:pPr>
    </w:lvl>
  </w:abstractNum>
  <w:abstractNum w:abstractNumId="5">
    <w:nsid w:val="0361D71E"/>
    <w:multiLevelType w:val="singleLevel"/>
    <w:tmpl w:val="0361D71E"/>
    <w:lvl w:ilvl="0" w:tentative="0">
      <w:start w:val="1"/>
      <w:numFmt w:val="decimal"/>
      <w:lvlText w:val="%1."/>
      <w:lvlJc w:val="left"/>
      <w:pPr>
        <w:tabs>
          <w:tab w:val="left" w:pos="312"/>
        </w:tabs>
      </w:pPr>
    </w:lvl>
  </w:abstractNum>
  <w:abstractNum w:abstractNumId="6">
    <w:nsid w:val="0EAEF0C3"/>
    <w:multiLevelType w:val="singleLevel"/>
    <w:tmpl w:val="0EAEF0C3"/>
    <w:lvl w:ilvl="0" w:tentative="0">
      <w:start w:val="1"/>
      <w:numFmt w:val="decimal"/>
      <w:lvlText w:val="%1."/>
      <w:lvlJc w:val="left"/>
      <w:pPr>
        <w:tabs>
          <w:tab w:val="left" w:pos="312"/>
        </w:tabs>
      </w:pPr>
    </w:lvl>
  </w:abstractNum>
  <w:abstractNum w:abstractNumId="7">
    <w:nsid w:val="3BCE62CD"/>
    <w:multiLevelType w:val="singleLevel"/>
    <w:tmpl w:val="3BCE62CD"/>
    <w:lvl w:ilvl="0" w:tentative="0">
      <w:start w:val="1"/>
      <w:numFmt w:val="decimal"/>
      <w:lvlText w:val="%1."/>
      <w:lvlJc w:val="left"/>
      <w:pPr>
        <w:tabs>
          <w:tab w:val="left" w:pos="312"/>
        </w:tabs>
      </w:pPr>
    </w:lvl>
  </w:abstractNum>
  <w:abstractNum w:abstractNumId="8">
    <w:nsid w:val="6F327640"/>
    <w:multiLevelType w:val="singleLevel"/>
    <w:tmpl w:val="6F327640"/>
    <w:lvl w:ilvl="0" w:tentative="0">
      <w:start w:val="1"/>
      <w:numFmt w:val="decimal"/>
      <w:lvlText w:val="%1."/>
      <w:lvlJc w:val="left"/>
      <w:pPr>
        <w:tabs>
          <w:tab w:val="left" w:pos="312"/>
        </w:tabs>
      </w:pPr>
    </w:lvl>
  </w:abstractNum>
  <w:num w:numId="1">
    <w:abstractNumId w:val="7"/>
  </w:num>
  <w:num w:numId="2">
    <w:abstractNumId w:val="8"/>
  </w:num>
  <w:num w:numId="3">
    <w:abstractNumId w:val="2"/>
  </w:num>
  <w:num w:numId="4">
    <w:abstractNumId w:val="1"/>
  </w:num>
  <w:num w:numId="5">
    <w:abstractNumId w:val="4"/>
  </w:num>
  <w:num w:numId="6">
    <w:abstractNumId w:val="5"/>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zhkZTNmZjYxZDM3ZTI3Y2U4MTU5MzRiOTg1MWQifQ=="/>
  </w:docVars>
  <w:rsids>
    <w:rsidRoot w:val="38A7204F"/>
    <w:rsid w:val="0FEB176D"/>
    <w:rsid w:val="1495612A"/>
    <w:rsid w:val="1E41494A"/>
    <w:rsid w:val="206C7632"/>
    <w:rsid w:val="21CA05E9"/>
    <w:rsid w:val="27D23FF8"/>
    <w:rsid w:val="294721EB"/>
    <w:rsid w:val="340D03F4"/>
    <w:rsid w:val="38A7204F"/>
    <w:rsid w:val="38A909A6"/>
    <w:rsid w:val="48A203D1"/>
    <w:rsid w:val="4C6368F8"/>
    <w:rsid w:val="58A77AFF"/>
    <w:rsid w:val="67707C45"/>
    <w:rsid w:val="754E18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autoSpaceDE w:val="0"/>
      <w:autoSpaceDN w:val="0"/>
      <w:spacing w:before="48"/>
      <w:ind w:left="3375" w:right="3442"/>
      <w:jc w:val="center"/>
      <w:outlineLvl w:val="0"/>
    </w:pPr>
    <w:rPr>
      <w:rFonts w:ascii="宋体" w:hAnsi="宋体" w:eastAsia="宋体" w:cs="宋体"/>
      <w:b/>
      <w:bCs/>
      <w:kern w:val="0"/>
      <w:szCs w:val="21"/>
    </w:rPr>
  </w:style>
  <w:style w:type="paragraph" w:styleId="3">
    <w:name w:val="heading 3"/>
    <w:basedOn w:val="1"/>
    <w:next w:val="1"/>
    <w:qFormat/>
    <w:uiPriority w:val="0"/>
    <w:pPr>
      <w:keepNext/>
      <w:outlineLvl w:val="2"/>
    </w:pPr>
    <w:rPr>
      <w:rFonts w:ascii="楷体_GB2312" w:hAnsi="宋体" w:eastAsia="黑体"/>
      <w:b/>
      <w:bCs/>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pPr>
      <w:autoSpaceDE w:val="0"/>
      <w:autoSpaceDN w:val="0"/>
      <w:ind w:left="490"/>
      <w:jc w:val="left"/>
    </w:pPr>
    <w:rPr>
      <w:rFonts w:ascii="宋体" w:hAnsi="宋体" w:eastAsia="宋体" w:cs="宋体"/>
      <w:kern w:val="0"/>
      <w:sz w:val="19"/>
      <w:szCs w:val="19"/>
    </w:rPr>
  </w:style>
  <w:style w:type="paragraph" w:styleId="6">
    <w:name w:val="Body Text Indent"/>
    <w:basedOn w:val="1"/>
    <w:next w:val="1"/>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5"/>
    <w:next w:val="10"/>
    <w:qFormat/>
    <w:uiPriority w:val="0"/>
    <w:pPr>
      <w:widowControl w:val="0"/>
      <w:ind w:firstLine="420" w:firstLineChars="100"/>
      <w:jc w:val="both"/>
    </w:pPr>
    <w:rPr>
      <w:rFonts w:ascii="Tahoma" w:hAnsi="Tahoma" w:eastAsia="宋体" w:cs="Times New Roman"/>
      <w:kern w:val="2"/>
    </w:rPr>
  </w:style>
  <w:style w:type="paragraph" w:customStyle="1" w:styleId="10">
    <w:name w:val="样式 正文首行缩进 + 首行缩进:  1 字符"/>
    <w:basedOn w:val="1"/>
    <w:next w:val="1"/>
    <w:qFormat/>
    <w:uiPriority w:val="0"/>
    <w:pPr>
      <w:spacing w:line="360" w:lineRule="auto"/>
      <w:ind w:firstLine="200" w:firstLineChars="200"/>
    </w:pPr>
    <w:rPr>
      <w:rFonts w:cs="宋体"/>
      <w:sz w:val="24"/>
      <w:szCs w:val="20"/>
    </w:rPr>
  </w:style>
  <w:style w:type="paragraph" w:styleId="11">
    <w:name w:val="Body Text First Indent 2"/>
    <w:basedOn w:val="6"/>
    <w:unhideWhenUsed/>
    <w:qFormat/>
    <w:uiPriority w:val="99"/>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paragraph" w:customStyle="1" w:styleId="1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11540</Words>
  <Characters>11802</Characters>
  <Lines>0</Lines>
  <Paragraphs>0</Paragraphs>
  <TotalTime>1</TotalTime>
  <ScaleCrop>false</ScaleCrop>
  <LinksUpToDate>false</LinksUpToDate>
  <CharactersWithSpaces>11864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2023-11-17T01:15:00Z</dcterms:created>
  <dc:creator>和盛-刘晓健</dc:creator>
  <cp:lastModifiedBy>HSDG</cp:lastModifiedBy>
  <dcterms:modified xsi:type="dcterms:W3CDTF">2025-10-31T07:31:56Z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C520F36A497040E98FB46D73A9DF92A1_13</vt:lpwstr>
  </property>
  <property fmtid="{D5CDD505-2E9C-101B-9397-08002B2CF9AE}" pid="4" name="KSOTemplateDocerSaveRecord">
    <vt:lpwstr>eyJoZGlkIjoiOGFjMzhkZTNmZjYxZDM3ZTI3Y2U4MTU5MzRiOTg1MWQiLCJ1c2VySWQiOiI3MzQ2NjIyNjMifQ==</vt:lpwstr>
  </property>
</Properties>
</file>