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F4866C">
      <w:pPr>
        <w:pStyle w:val="3"/>
        <w:spacing w:before="0" w:line="360" w:lineRule="auto"/>
        <w:ind w:left="5196" w:leftChars="0" w:right="106" w:rightChars="0" w:hanging="5196" w:hangingChars="1703"/>
        <w:contextualSpacing/>
        <w:rPr>
          <w:rFonts w:hint="eastAsia" w:ascii="宋体" w:hAnsi="宋体" w:eastAsia="宋体" w:cs="宋体"/>
          <w:color w:val="auto"/>
          <w:spacing w:val="12"/>
          <w:sz w:val="28"/>
          <w:szCs w:val="28"/>
          <w:highlight w:val="none"/>
          <w:lang w:val="en-US" w:eastAsia="zh-CN"/>
        </w:rPr>
      </w:pPr>
      <w:r>
        <w:rPr>
          <w:rFonts w:hint="eastAsia" w:ascii="宋体" w:hAnsi="宋体" w:eastAsia="宋体" w:cs="宋体"/>
          <w:color w:val="auto"/>
          <w:spacing w:val="12"/>
          <w:sz w:val="28"/>
          <w:szCs w:val="28"/>
          <w:highlight w:val="none"/>
          <w:lang w:val="en-US" w:eastAsia="zh-CN"/>
        </w:rPr>
        <w:t>附件一：需求问卷调查</w:t>
      </w:r>
    </w:p>
    <w:p w14:paraId="4F1E9487">
      <w:pPr>
        <w:widowControl/>
        <w:spacing w:line="360" w:lineRule="auto"/>
        <w:rPr>
          <w:rFonts w:hint="eastAsia" w:ascii="宋体" w:hAnsi="宋体" w:eastAsia="宋体" w:cs="宋体"/>
          <w:bCs/>
          <w:i/>
          <w:iCs/>
          <w:color w:val="auto"/>
          <w:sz w:val="24"/>
          <w:szCs w:val="22"/>
          <w:highlight w:val="none"/>
        </w:rPr>
      </w:pPr>
      <w:r>
        <w:rPr>
          <w:rFonts w:hint="eastAsia" w:ascii="宋体" w:hAnsi="宋体" w:eastAsia="宋体" w:cs="宋体"/>
          <w:b/>
          <w:color w:val="auto"/>
          <w:kern w:val="0"/>
          <w:sz w:val="32"/>
          <w:szCs w:val="32"/>
          <w:highlight w:val="none"/>
        </w:rPr>
        <w:t>（一）相关</w:t>
      </w:r>
      <w:r>
        <w:rPr>
          <w:rFonts w:hint="eastAsia" w:ascii="宋体" w:hAnsi="宋体" w:eastAsia="宋体" w:cs="宋体"/>
          <w:b/>
          <w:color w:val="auto"/>
          <w:kern w:val="0"/>
          <w:sz w:val="32"/>
          <w:szCs w:val="32"/>
          <w:highlight w:val="none"/>
          <w:lang w:val="en-US" w:eastAsia="zh-CN"/>
        </w:rPr>
        <w:t>大配餐</w:t>
      </w:r>
      <w:r>
        <w:rPr>
          <w:rFonts w:hint="eastAsia" w:ascii="宋体" w:hAnsi="宋体" w:eastAsia="宋体" w:cs="宋体"/>
          <w:b/>
          <w:color w:val="auto"/>
          <w:kern w:val="0"/>
          <w:sz w:val="32"/>
          <w:szCs w:val="32"/>
          <w:highlight w:val="none"/>
        </w:rPr>
        <w:t>产业发展</w:t>
      </w:r>
    </w:p>
    <w:p w14:paraId="23FBB8EB">
      <w:pP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1.现有大配餐行业的发展历程、行业现状等：</w:t>
      </w:r>
    </w:p>
    <w:p w14:paraId="09D3D1B9">
      <w:pPr>
        <w:rPr>
          <w:rFonts w:hint="eastAsia" w:ascii="宋体" w:hAnsi="宋体" w:eastAsia="宋体" w:cs="宋体"/>
          <w:color w:val="auto"/>
          <w:sz w:val="32"/>
          <w:szCs w:val="32"/>
          <w:highlight w:val="none"/>
        </w:rPr>
      </w:pPr>
    </w:p>
    <w:p w14:paraId="738F5B93">
      <w:pPr>
        <w:rPr>
          <w:rFonts w:hint="eastAsia" w:ascii="宋体" w:hAnsi="宋体" w:eastAsia="宋体" w:cs="宋体"/>
          <w:color w:val="auto"/>
          <w:sz w:val="32"/>
          <w:szCs w:val="32"/>
          <w:highlight w:val="none"/>
        </w:rPr>
      </w:pPr>
    </w:p>
    <w:p w14:paraId="3FE85F72">
      <w:pP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2.大配餐可能涉及的企业资质、人员资质：</w:t>
      </w:r>
    </w:p>
    <w:p w14:paraId="217763CF">
      <w:pPr>
        <w:rPr>
          <w:rFonts w:hint="eastAsia" w:ascii="宋体" w:hAnsi="宋体" w:eastAsia="宋体" w:cs="宋体"/>
          <w:color w:val="auto"/>
          <w:sz w:val="32"/>
          <w:szCs w:val="32"/>
          <w:highlight w:val="none"/>
        </w:rPr>
      </w:pPr>
    </w:p>
    <w:p w14:paraId="5EE87EE2">
      <w:pPr>
        <w:rPr>
          <w:rFonts w:hint="eastAsia" w:ascii="宋体" w:hAnsi="宋体" w:eastAsia="宋体" w:cs="宋体"/>
          <w:color w:val="auto"/>
          <w:sz w:val="32"/>
          <w:szCs w:val="32"/>
          <w:highlight w:val="none"/>
        </w:rPr>
      </w:pPr>
    </w:p>
    <w:p w14:paraId="25E54991">
      <w:pP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3.大配餐涉及的相关标准和规范：</w:t>
      </w:r>
    </w:p>
    <w:p w14:paraId="574EF8B0">
      <w:pPr>
        <w:rPr>
          <w:rFonts w:hint="eastAsia" w:ascii="宋体" w:hAnsi="宋体" w:eastAsia="宋体" w:cs="宋体"/>
          <w:color w:val="auto"/>
          <w:sz w:val="32"/>
          <w:szCs w:val="32"/>
          <w:highlight w:val="none"/>
        </w:rPr>
      </w:pPr>
    </w:p>
    <w:p w14:paraId="0BA2ADF5">
      <w:pPr>
        <w:rPr>
          <w:rFonts w:hint="eastAsia" w:ascii="宋体" w:hAnsi="宋体" w:eastAsia="宋体" w:cs="宋体"/>
          <w:color w:val="auto"/>
          <w:sz w:val="32"/>
          <w:szCs w:val="32"/>
          <w:highlight w:val="none"/>
        </w:rPr>
      </w:pPr>
    </w:p>
    <w:p w14:paraId="0DD6BDD7">
      <w:pPr>
        <w:widowControl/>
        <w:spacing w:line="360" w:lineRule="auto"/>
        <w:rPr>
          <w:rFonts w:hint="eastAsia" w:ascii="宋体" w:hAnsi="宋体" w:eastAsia="宋体" w:cs="宋体"/>
          <w:bCs/>
          <w:i/>
          <w:iCs/>
          <w:color w:val="auto"/>
          <w:sz w:val="24"/>
          <w:szCs w:val="22"/>
          <w:highlight w:val="none"/>
        </w:rPr>
      </w:pPr>
      <w:r>
        <w:rPr>
          <w:rFonts w:hint="eastAsia" w:ascii="宋体" w:hAnsi="宋体" w:eastAsia="宋体" w:cs="宋体"/>
          <w:b/>
          <w:color w:val="auto"/>
          <w:kern w:val="0"/>
          <w:sz w:val="32"/>
          <w:szCs w:val="32"/>
          <w:highlight w:val="none"/>
        </w:rPr>
        <w:t>（二）市场供给</w:t>
      </w:r>
    </w:p>
    <w:p w14:paraId="1ABC10FC">
      <w:pP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1.市场竞争程度：</w:t>
      </w:r>
    </w:p>
    <w:p w14:paraId="14896B0B">
      <w:pPr>
        <w:rPr>
          <w:rFonts w:hint="eastAsia" w:ascii="宋体" w:hAnsi="宋体" w:eastAsia="宋体" w:cs="宋体"/>
          <w:color w:val="auto"/>
          <w:sz w:val="32"/>
          <w:szCs w:val="32"/>
          <w:highlight w:val="none"/>
        </w:rPr>
      </w:pPr>
    </w:p>
    <w:p w14:paraId="04E24DF3">
      <w:pPr>
        <w:rPr>
          <w:rFonts w:hint="eastAsia" w:ascii="宋体" w:hAnsi="宋体" w:eastAsia="宋体" w:cs="宋体"/>
          <w:color w:val="auto"/>
          <w:sz w:val="32"/>
          <w:szCs w:val="32"/>
          <w:highlight w:val="none"/>
        </w:rPr>
      </w:pPr>
    </w:p>
    <w:p w14:paraId="75758B31">
      <w:pP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lang w:val="en-US" w:eastAsia="zh-CN"/>
        </w:rPr>
        <w:t>2</w:t>
      </w:r>
      <w:r>
        <w:rPr>
          <w:rFonts w:hint="eastAsia" w:ascii="宋体" w:hAnsi="宋体" w:eastAsia="宋体" w:cs="宋体"/>
          <w:color w:val="auto"/>
          <w:sz w:val="32"/>
          <w:szCs w:val="32"/>
          <w:highlight w:val="none"/>
        </w:rPr>
        <w:t>.潜在供应商的数量、履约能力、售后服务能力：</w:t>
      </w:r>
    </w:p>
    <w:p w14:paraId="7DDA8919">
      <w:pPr>
        <w:rPr>
          <w:rFonts w:hint="eastAsia" w:ascii="宋体" w:hAnsi="宋体" w:eastAsia="宋体" w:cs="宋体"/>
          <w:color w:val="auto"/>
          <w:sz w:val="32"/>
          <w:szCs w:val="32"/>
          <w:highlight w:val="none"/>
        </w:rPr>
      </w:pPr>
    </w:p>
    <w:p w14:paraId="285E8A09">
      <w:pPr>
        <w:rPr>
          <w:rFonts w:hint="eastAsia" w:ascii="宋体" w:hAnsi="宋体" w:eastAsia="宋体" w:cs="宋体"/>
          <w:color w:val="auto"/>
          <w:sz w:val="32"/>
          <w:szCs w:val="32"/>
          <w:highlight w:val="none"/>
        </w:rPr>
      </w:pPr>
    </w:p>
    <w:p w14:paraId="7E4D8637">
      <w:pPr>
        <w:widowControl/>
        <w:spacing w:line="360" w:lineRule="auto"/>
        <w:rPr>
          <w:rFonts w:hint="eastAsia" w:ascii="宋体" w:hAnsi="宋体" w:eastAsia="宋体" w:cs="宋体"/>
          <w:bCs/>
          <w:i/>
          <w:iCs/>
          <w:color w:val="auto"/>
          <w:sz w:val="24"/>
          <w:szCs w:val="22"/>
          <w:highlight w:val="none"/>
        </w:rPr>
      </w:pPr>
      <w:r>
        <w:rPr>
          <w:rFonts w:hint="eastAsia" w:ascii="宋体" w:hAnsi="宋体" w:eastAsia="宋体" w:cs="宋体"/>
          <w:b/>
          <w:color w:val="auto"/>
          <w:kern w:val="0"/>
          <w:sz w:val="32"/>
          <w:szCs w:val="32"/>
          <w:highlight w:val="none"/>
        </w:rPr>
        <w:t>（三）同类采购项目历史成交信息</w:t>
      </w:r>
    </w:p>
    <w:tbl>
      <w:tblPr>
        <w:tblStyle w:val="12"/>
        <w:tblW w:w="93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4"/>
        <w:gridCol w:w="1204"/>
        <w:gridCol w:w="1326"/>
        <w:gridCol w:w="1243"/>
        <w:gridCol w:w="1034"/>
        <w:gridCol w:w="1139"/>
        <w:gridCol w:w="1229"/>
        <w:gridCol w:w="1276"/>
      </w:tblGrid>
      <w:tr w14:paraId="048EB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884" w:type="dxa"/>
            <w:vAlign w:val="center"/>
          </w:tcPr>
          <w:p w14:paraId="649806C8">
            <w:pPr>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序号</w:t>
            </w:r>
          </w:p>
        </w:tc>
        <w:tc>
          <w:tcPr>
            <w:tcW w:w="1204" w:type="dxa"/>
            <w:vAlign w:val="center"/>
          </w:tcPr>
          <w:p w14:paraId="4FE0E982">
            <w:pPr>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采购人</w:t>
            </w:r>
          </w:p>
        </w:tc>
        <w:tc>
          <w:tcPr>
            <w:tcW w:w="1326" w:type="dxa"/>
            <w:vAlign w:val="center"/>
          </w:tcPr>
          <w:p w14:paraId="7B9A6B09">
            <w:pPr>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项目名称</w:t>
            </w:r>
          </w:p>
        </w:tc>
        <w:tc>
          <w:tcPr>
            <w:tcW w:w="1243" w:type="dxa"/>
            <w:vAlign w:val="center"/>
          </w:tcPr>
          <w:p w14:paraId="43E7FB92">
            <w:pPr>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项目预算</w:t>
            </w:r>
          </w:p>
        </w:tc>
        <w:tc>
          <w:tcPr>
            <w:tcW w:w="1034" w:type="dxa"/>
            <w:vAlign w:val="center"/>
          </w:tcPr>
          <w:p w14:paraId="0EBAEA69">
            <w:pPr>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中标人</w:t>
            </w:r>
          </w:p>
        </w:tc>
        <w:tc>
          <w:tcPr>
            <w:tcW w:w="1139" w:type="dxa"/>
            <w:vAlign w:val="center"/>
          </w:tcPr>
          <w:p w14:paraId="33E9C213">
            <w:pPr>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中标价</w:t>
            </w:r>
          </w:p>
        </w:tc>
        <w:tc>
          <w:tcPr>
            <w:tcW w:w="1229" w:type="dxa"/>
            <w:vAlign w:val="center"/>
          </w:tcPr>
          <w:p w14:paraId="17121D78">
            <w:pPr>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中标品牌</w:t>
            </w:r>
          </w:p>
        </w:tc>
        <w:tc>
          <w:tcPr>
            <w:tcW w:w="1276" w:type="dxa"/>
            <w:vAlign w:val="center"/>
          </w:tcPr>
          <w:p w14:paraId="78136DA8">
            <w:pPr>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中标型号</w:t>
            </w:r>
          </w:p>
        </w:tc>
      </w:tr>
      <w:tr w14:paraId="2A03E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jc w:val="center"/>
        </w:trPr>
        <w:tc>
          <w:tcPr>
            <w:tcW w:w="884" w:type="dxa"/>
            <w:vAlign w:val="center"/>
          </w:tcPr>
          <w:p w14:paraId="58638194">
            <w:pPr>
              <w:jc w:val="center"/>
              <w:rPr>
                <w:rFonts w:hint="eastAsia" w:ascii="宋体" w:hAnsi="宋体" w:eastAsia="宋体" w:cs="宋体"/>
                <w:color w:val="auto"/>
                <w:sz w:val="24"/>
                <w:highlight w:val="none"/>
              </w:rPr>
            </w:pPr>
          </w:p>
        </w:tc>
        <w:tc>
          <w:tcPr>
            <w:tcW w:w="1204" w:type="dxa"/>
            <w:vAlign w:val="center"/>
          </w:tcPr>
          <w:p w14:paraId="3FF45FC7">
            <w:pPr>
              <w:jc w:val="center"/>
              <w:rPr>
                <w:rFonts w:hint="eastAsia" w:ascii="宋体" w:hAnsi="宋体" w:eastAsia="宋体" w:cs="宋体"/>
                <w:color w:val="auto"/>
                <w:sz w:val="24"/>
                <w:highlight w:val="none"/>
              </w:rPr>
            </w:pPr>
          </w:p>
        </w:tc>
        <w:tc>
          <w:tcPr>
            <w:tcW w:w="1326" w:type="dxa"/>
            <w:vAlign w:val="center"/>
          </w:tcPr>
          <w:p w14:paraId="7BD38A20">
            <w:pPr>
              <w:jc w:val="center"/>
              <w:rPr>
                <w:rFonts w:hint="eastAsia" w:ascii="宋体" w:hAnsi="宋体" w:eastAsia="宋体" w:cs="宋体"/>
                <w:color w:val="auto"/>
                <w:sz w:val="24"/>
                <w:highlight w:val="none"/>
              </w:rPr>
            </w:pPr>
          </w:p>
        </w:tc>
        <w:tc>
          <w:tcPr>
            <w:tcW w:w="1243" w:type="dxa"/>
            <w:vAlign w:val="center"/>
          </w:tcPr>
          <w:p w14:paraId="2DA40DC8">
            <w:pPr>
              <w:jc w:val="center"/>
              <w:rPr>
                <w:rFonts w:hint="eastAsia" w:ascii="宋体" w:hAnsi="宋体" w:eastAsia="宋体" w:cs="宋体"/>
                <w:color w:val="auto"/>
                <w:sz w:val="24"/>
                <w:highlight w:val="none"/>
              </w:rPr>
            </w:pPr>
          </w:p>
        </w:tc>
        <w:tc>
          <w:tcPr>
            <w:tcW w:w="1034" w:type="dxa"/>
            <w:vAlign w:val="center"/>
          </w:tcPr>
          <w:p w14:paraId="527CA5E3">
            <w:pPr>
              <w:jc w:val="center"/>
              <w:rPr>
                <w:rFonts w:hint="eastAsia" w:ascii="宋体" w:hAnsi="宋体" w:eastAsia="宋体" w:cs="宋体"/>
                <w:color w:val="auto"/>
                <w:sz w:val="24"/>
                <w:highlight w:val="none"/>
              </w:rPr>
            </w:pPr>
          </w:p>
        </w:tc>
        <w:tc>
          <w:tcPr>
            <w:tcW w:w="1139" w:type="dxa"/>
            <w:vAlign w:val="center"/>
          </w:tcPr>
          <w:p w14:paraId="7E39C158">
            <w:pPr>
              <w:jc w:val="center"/>
              <w:rPr>
                <w:rFonts w:hint="eastAsia" w:ascii="宋体" w:hAnsi="宋体" w:eastAsia="宋体" w:cs="宋体"/>
                <w:color w:val="auto"/>
                <w:sz w:val="24"/>
                <w:highlight w:val="none"/>
              </w:rPr>
            </w:pPr>
          </w:p>
        </w:tc>
        <w:tc>
          <w:tcPr>
            <w:tcW w:w="1229" w:type="dxa"/>
            <w:vAlign w:val="center"/>
          </w:tcPr>
          <w:p w14:paraId="43B9970B">
            <w:pPr>
              <w:jc w:val="center"/>
              <w:rPr>
                <w:rFonts w:hint="eastAsia" w:ascii="宋体" w:hAnsi="宋体" w:eastAsia="宋体" w:cs="宋体"/>
                <w:color w:val="auto"/>
                <w:sz w:val="24"/>
                <w:highlight w:val="none"/>
              </w:rPr>
            </w:pPr>
          </w:p>
        </w:tc>
        <w:tc>
          <w:tcPr>
            <w:tcW w:w="1276" w:type="dxa"/>
            <w:vAlign w:val="center"/>
          </w:tcPr>
          <w:p w14:paraId="3DE41908">
            <w:pPr>
              <w:jc w:val="center"/>
              <w:rPr>
                <w:rFonts w:hint="eastAsia" w:ascii="宋体" w:hAnsi="宋体" w:eastAsia="宋体" w:cs="宋体"/>
                <w:color w:val="auto"/>
                <w:sz w:val="24"/>
                <w:highlight w:val="none"/>
              </w:rPr>
            </w:pPr>
          </w:p>
        </w:tc>
      </w:tr>
      <w:tr w14:paraId="0E621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 w:hRule="atLeast"/>
          <w:jc w:val="center"/>
        </w:trPr>
        <w:tc>
          <w:tcPr>
            <w:tcW w:w="884" w:type="dxa"/>
            <w:vAlign w:val="center"/>
          </w:tcPr>
          <w:p w14:paraId="01CF91EA">
            <w:pPr>
              <w:jc w:val="center"/>
              <w:rPr>
                <w:rFonts w:hint="eastAsia" w:ascii="宋体" w:hAnsi="宋体" w:eastAsia="宋体" w:cs="宋体"/>
                <w:color w:val="auto"/>
                <w:sz w:val="24"/>
                <w:highlight w:val="none"/>
              </w:rPr>
            </w:pPr>
          </w:p>
        </w:tc>
        <w:tc>
          <w:tcPr>
            <w:tcW w:w="1204" w:type="dxa"/>
            <w:vAlign w:val="center"/>
          </w:tcPr>
          <w:p w14:paraId="4C588B16">
            <w:pPr>
              <w:jc w:val="center"/>
              <w:rPr>
                <w:rFonts w:hint="eastAsia" w:ascii="宋体" w:hAnsi="宋体" w:eastAsia="宋体" w:cs="宋体"/>
                <w:color w:val="auto"/>
                <w:sz w:val="24"/>
                <w:highlight w:val="none"/>
              </w:rPr>
            </w:pPr>
          </w:p>
        </w:tc>
        <w:tc>
          <w:tcPr>
            <w:tcW w:w="1326" w:type="dxa"/>
            <w:vAlign w:val="center"/>
          </w:tcPr>
          <w:p w14:paraId="4D59E623">
            <w:pPr>
              <w:jc w:val="center"/>
              <w:rPr>
                <w:rFonts w:hint="eastAsia" w:ascii="宋体" w:hAnsi="宋体" w:eastAsia="宋体" w:cs="宋体"/>
                <w:color w:val="auto"/>
                <w:sz w:val="24"/>
                <w:highlight w:val="none"/>
              </w:rPr>
            </w:pPr>
          </w:p>
        </w:tc>
        <w:tc>
          <w:tcPr>
            <w:tcW w:w="1243" w:type="dxa"/>
            <w:vAlign w:val="center"/>
          </w:tcPr>
          <w:p w14:paraId="3B533C0D">
            <w:pPr>
              <w:jc w:val="center"/>
              <w:rPr>
                <w:rFonts w:hint="eastAsia" w:ascii="宋体" w:hAnsi="宋体" w:eastAsia="宋体" w:cs="宋体"/>
                <w:color w:val="auto"/>
                <w:sz w:val="24"/>
                <w:highlight w:val="none"/>
              </w:rPr>
            </w:pPr>
          </w:p>
        </w:tc>
        <w:tc>
          <w:tcPr>
            <w:tcW w:w="1034" w:type="dxa"/>
            <w:vAlign w:val="center"/>
          </w:tcPr>
          <w:p w14:paraId="1F23C5BD">
            <w:pPr>
              <w:jc w:val="center"/>
              <w:rPr>
                <w:rFonts w:hint="eastAsia" w:ascii="宋体" w:hAnsi="宋体" w:eastAsia="宋体" w:cs="宋体"/>
                <w:color w:val="auto"/>
                <w:sz w:val="24"/>
                <w:highlight w:val="none"/>
              </w:rPr>
            </w:pPr>
          </w:p>
        </w:tc>
        <w:tc>
          <w:tcPr>
            <w:tcW w:w="1139" w:type="dxa"/>
            <w:vAlign w:val="center"/>
          </w:tcPr>
          <w:p w14:paraId="63C827F0">
            <w:pPr>
              <w:jc w:val="center"/>
              <w:rPr>
                <w:rFonts w:hint="eastAsia" w:ascii="宋体" w:hAnsi="宋体" w:eastAsia="宋体" w:cs="宋体"/>
                <w:color w:val="auto"/>
                <w:sz w:val="24"/>
                <w:highlight w:val="none"/>
              </w:rPr>
            </w:pPr>
          </w:p>
        </w:tc>
        <w:tc>
          <w:tcPr>
            <w:tcW w:w="1229" w:type="dxa"/>
            <w:vAlign w:val="center"/>
          </w:tcPr>
          <w:p w14:paraId="00BFE0B7">
            <w:pPr>
              <w:jc w:val="center"/>
              <w:rPr>
                <w:rFonts w:hint="eastAsia" w:ascii="宋体" w:hAnsi="宋体" w:eastAsia="宋体" w:cs="宋体"/>
                <w:color w:val="auto"/>
                <w:sz w:val="24"/>
                <w:highlight w:val="none"/>
              </w:rPr>
            </w:pPr>
          </w:p>
        </w:tc>
        <w:tc>
          <w:tcPr>
            <w:tcW w:w="1276" w:type="dxa"/>
            <w:vAlign w:val="center"/>
          </w:tcPr>
          <w:p w14:paraId="04A3DFE3">
            <w:pPr>
              <w:jc w:val="center"/>
              <w:rPr>
                <w:rFonts w:hint="eastAsia" w:ascii="宋体" w:hAnsi="宋体" w:eastAsia="宋体" w:cs="宋体"/>
                <w:color w:val="auto"/>
                <w:sz w:val="24"/>
                <w:highlight w:val="none"/>
              </w:rPr>
            </w:pPr>
          </w:p>
        </w:tc>
      </w:tr>
      <w:tr w14:paraId="36A4F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jc w:val="center"/>
        </w:trPr>
        <w:tc>
          <w:tcPr>
            <w:tcW w:w="884" w:type="dxa"/>
            <w:vAlign w:val="center"/>
          </w:tcPr>
          <w:p w14:paraId="13D4B447">
            <w:pPr>
              <w:jc w:val="center"/>
              <w:rPr>
                <w:rFonts w:hint="eastAsia" w:ascii="宋体" w:hAnsi="宋体" w:eastAsia="宋体" w:cs="宋体"/>
                <w:color w:val="auto"/>
                <w:sz w:val="24"/>
                <w:highlight w:val="none"/>
              </w:rPr>
            </w:pPr>
          </w:p>
        </w:tc>
        <w:tc>
          <w:tcPr>
            <w:tcW w:w="1204" w:type="dxa"/>
            <w:vAlign w:val="center"/>
          </w:tcPr>
          <w:p w14:paraId="2D978530">
            <w:pPr>
              <w:jc w:val="center"/>
              <w:rPr>
                <w:rFonts w:hint="eastAsia" w:ascii="宋体" w:hAnsi="宋体" w:eastAsia="宋体" w:cs="宋体"/>
                <w:color w:val="auto"/>
                <w:sz w:val="24"/>
                <w:highlight w:val="none"/>
              </w:rPr>
            </w:pPr>
          </w:p>
        </w:tc>
        <w:tc>
          <w:tcPr>
            <w:tcW w:w="1326" w:type="dxa"/>
            <w:vAlign w:val="center"/>
          </w:tcPr>
          <w:p w14:paraId="47EDBA42">
            <w:pPr>
              <w:jc w:val="center"/>
              <w:rPr>
                <w:rFonts w:hint="eastAsia" w:ascii="宋体" w:hAnsi="宋体" w:eastAsia="宋体" w:cs="宋体"/>
                <w:color w:val="auto"/>
                <w:sz w:val="24"/>
                <w:highlight w:val="none"/>
              </w:rPr>
            </w:pPr>
          </w:p>
        </w:tc>
        <w:tc>
          <w:tcPr>
            <w:tcW w:w="1243" w:type="dxa"/>
            <w:vAlign w:val="center"/>
          </w:tcPr>
          <w:p w14:paraId="68BB3DC7">
            <w:pPr>
              <w:jc w:val="center"/>
              <w:rPr>
                <w:rFonts w:hint="eastAsia" w:ascii="宋体" w:hAnsi="宋体" w:eastAsia="宋体" w:cs="宋体"/>
                <w:color w:val="auto"/>
                <w:sz w:val="24"/>
                <w:highlight w:val="none"/>
              </w:rPr>
            </w:pPr>
          </w:p>
        </w:tc>
        <w:tc>
          <w:tcPr>
            <w:tcW w:w="1034" w:type="dxa"/>
            <w:vAlign w:val="center"/>
          </w:tcPr>
          <w:p w14:paraId="39B77D07">
            <w:pPr>
              <w:jc w:val="center"/>
              <w:rPr>
                <w:rFonts w:hint="eastAsia" w:ascii="宋体" w:hAnsi="宋体" w:eastAsia="宋体" w:cs="宋体"/>
                <w:color w:val="auto"/>
                <w:sz w:val="24"/>
                <w:highlight w:val="none"/>
              </w:rPr>
            </w:pPr>
          </w:p>
        </w:tc>
        <w:tc>
          <w:tcPr>
            <w:tcW w:w="1139" w:type="dxa"/>
            <w:vAlign w:val="center"/>
          </w:tcPr>
          <w:p w14:paraId="7E90CC20">
            <w:pPr>
              <w:jc w:val="center"/>
              <w:rPr>
                <w:rFonts w:hint="eastAsia" w:ascii="宋体" w:hAnsi="宋体" w:eastAsia="宋体" w:cs="宋体"/>
                <w:color w:val="auto"/>
                <w:sz w:val="24"/>
                <w:highlight w:val="none"/>
              </w:rPr>
            </w:pPr>
          </w:p>
        </w:tc>
        <w:tc>
          <w:tcPr>
            <w:tcW w:w="1229" w:type="dxa"/>
            <w:vAlign w:val="center"/>
          </w:tcPr>
          <w:p w14:paraId="49FCAD56">
            <w:pPr>
              <w:jc w:val="center"/>
              <w:rPr>
                <w:rFonts w:hint="eastAsia" w:ascii="宋体" w:hAnsi="宋体" w:eastAsia="宋体" w:cs="宋体"/>
                <w:color w:val="auto"/>
                <w:sz w:val="24"/>
                <w:highlight w:val="none"/>
              </w:rPr>
            </w:pPr>
          </w:p>
        </w:tc>
        <w:tc>
          <w:tcPr>
            <w:tcW w:w="1276" w:type="dxa"/>
            <w:vAlign w:val="center"/>
          </w:tcPr>
          <w:p w14:paraId="5C7D450F">
            <w:pPr>
              <w:jc w:val="center"/>
              <w:rPr>
                <w:rFonts w:hint="eastAsia" w:ascii="宋体" w:hAnsi="宋体" w:eastAsia="宋体" w:cs="宋体"/>
                <w:color w:val="auto"/>
                <w:sz w:val="24"/>
                <w:highlight w:val="none"/>
              </w:rPr>
            </w:pPr>
          </w:p>
        </w:tc>
      </w:tr>
    </w:tbl>
    <w:p w14:paraId="2F31F63D">
      <w:pPr>
        <w:widowControl/>
        <w:spacing w:line="360" w:lineRule="auto"/>
        <w:rPr>
          <w:rFonts w:hint="eastAsia" w:ascii="宋体" w:hAnsi="宋体" w:eastAsia="宋体" w:cs="宋体"/>
          <w:b/>
          <w:color w:val="auto"/>
          <w:kern w:val="0"/>
          <w:sz w:val="32"/>
          <w:szCs w:val="32"/>
          <w:highlight w:val="none"/>
        </w:rPr>
      </w:pPr>
    </w:p>
    <w:p w14:paraId="520FB94C">
      <w:pPr>
        <w:widowControl/>
        <w:spacing w:line="360" w:lineRule="auto"/>
        <w:rPr>
          <w:rFonts w:hint="eastAsia" w:ascii="宋体" w:hAnsi="宋体" w:eastAsia="宋体" w:cs="宋体"/>
          <w:bCs/>
          <w:i/>
          <w:iCs/>
          <w:color w:val="auto"/>
          <w:sz w:val="24"/>
          <w:szCs w:val="22"/>
          <w:highlight w:val="none"/>
        </w:rPr>
      </w:pPr>
      <w:r>
        <w:rPr>
          <w:rFonts w:hint="eastAsia" w:ascii="宋体" w:hAnsi="宋体" w:eastAsia="宋体" w:cs="宋体"/>
          <w:b/>
          <w:color w:val="auto"/>
          <w:kern w:val="0"/>
          <w:sz w:val="32"/>
          <w:szCs w:val="32"/>
          <w:highlight w:val="none"/>
        </w:rPr>
        <w:t>（四）后续采购情况</w:t>
      </w:r>
    </w:p>
    <w:p w14:paraId="07AC728C">
      <w:pP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1.可能涉及的运行维护、升级更新、备品备件、耗材等情况：</w:t>
      </w:r>
    </w:p>
    <w:p w14:paraId="2E13EA56">
      <w:pPr>
        <w:rPr>
          <w:rFonts w:hint="eastAsia" w:ascii="宋体" w:hAnsi="宋体" w:eastAsia="宋体" w:cs="宋体"/>
          <w:color w:val="auto"/>
          <w:sz w:val="32"/>
          <w:szCs w:val="32"/>
          <w:highlight w:val="none"/>
        </w:rPr>
      </w:pPr>
    </w:p>
    <w:p w14:paraId="2CE63DB1">
      <w:pPr>
        <w:rPr>
          <w:rFonts w:hint="eastAsia" w:ascii="宋体" w:hAnsi="宋体" w:eastAsia="宋体" w:cs="宋体"/>
          <w:color w:val="auto"/>
          <w:sz w:val="32"/>
          <w:szCs w:val="32"/>
          <w:highlight w:val="none"/>
        </w:rPr>
      </w:pPr>
    </w:p>
    <w:p w14:paraId="03F93406">
      <w:pPr>
        <w:widowControl/>
        <w:spacing w:line="360" w:lineRule="auto"/>
        <w:rPr>
          <w:rFonts w:hint="eastAsia" w:ascii="宋体" w:hAnsi="宋体" w:eastAsia="宋体" w:cs="宋体"/>
          <w:bCs/>
          <w:i/>
          <w:iCs/>
          <w:color w:val="auto"/>
          <w:sz w:val="24"/>
          <w:szCs w:val="22"/>
          <w:highlight w:val="none"/>
        </w:rPr>
      </w:pPr>
      <w:r>
        <w:rPr>
          <w:rFonts w:hint="eastAsia" w:ascii="宋体" w:hAnsi="宋体" w:eastAsia="宋体" w:cs="宋体"/>
          <w:b/>
          <w:color w:val="auto"/>
          <w:kern w:val="0"/>
          <w:sz w:val="32"/>
          <w:szCs w:val="32"/>
          <w:highlight w:val="none"/>
        </w:rPr>
        <w:t>（五）其他情况</w:t>
      </w:r>
    </w:p>
    <w:p w14:paraId="78F56CF9">
      <w:pPr>
        <w:widowControl/>
        <w:spacing w:line="360" w:lineRule="auto"/>
        <w:rPr>
          <w:rFonts w:hint="eastAsia" w:ascii="宋体" w:hAnsi="宋体" w:eastAsia="宋体" w:cs="宋体"/>
          <w:b/>
          <w:color w:val="auto"/>
          <w:kern w:val="0"/>
          <w:sz w:val="32"/>
          <w:szCs w:val="32"/>
          <w:highlight w:val="none"/>
          <w:lang w:val="en-US" w:eastAsia="zh-CN"/>
        </w:rPr>
      </w:pPr>
    </w:p>
    <w:p w14:paraId="00979E50">
      <w:pPr>
        <w:widowControl/>
        <w:spacing w:line="360" w:lineRule="auto"/>
        <w:rPr>
          <w:rFonts w:hint="eastAsia" w:ascii="宋体" w:hAnsi="宋体" w:eastAsia="宋体" w:cs="宋体"/>
          <w:b/>
          <w:color w:val="auto"/>
          <w:kern w:val="0"/>
          <w:sz w:val="32"/>
          <w:szCs w:val="32"/>
          <w:highlight w:val="none"/>
          <w:lang w:val="en-US" w:eastAsia="zh-CN"/>
        </w:rPr>
      </w:pPr>
      <w:r>
        <w:rPr>
          <w:rFonts w:hint="eastAsia" w:ascii="宋体" w:hAnsi="宋体" w:eastAsia="宋体" w:cs="宋体"/>
          <w:b/>
          <w:color w:val="auto"/>
          <w:kern w:val="0"/>
          <w:sz w:val="32"/>
          <w:szCs w:val="32"/>
          <w:highlight w:val="none"/>
          <w:lang w:val="en-US" w:eastAsia="zh-CN"/>
        </w:rPr>
        <w:t>（六）供应商所属行业</w:t>
      </w:r>
    </w:p>
    <w:p w14:paraId="17076CC5">
      <w:pPr>
        <w:rPr>
          <w:rFonts w:hint="eastAsia" w:ascii="宋体" w:hAnsi="宋体" w:eastAsia="宋体" w:cs="宋体"/>
          <w:color w:val="auto"/>
          <w:sz w:val="32"/>
          <w:szCs w:val="32"/>
          <w:highlight w:val="none"/>
          <w:lang w:val="en-US" w:eastAsia="zh-CN"/>
        </w:rPr>
      </w:pPr>
      <w:r>
        <w:rPr>
          <w:rFonts w:hint="eastAsia" w:ascii="宋体" w:hAnsi="宋体" w:eastAsia="宋体" w:cs="宋体"/>
          <w:color w:val="auto"/>
          <w:sz w:val="32"/>
          <w:szCs w:val="32"/>
          <w:highlight w:val="none"/>
          <w:lang w:val="en-US" w:eastAsia="zh-CN"/>
        </w:rPr>
        <w:t>依据《关于印发中小企业划型标准规定的通知》(工信部联企业(2011〕300号)文件规定，受调查的单位（企业）所属行业:</w:t>
      </w:r>
      <w:r>
        <w:rPr>
          <w:rFonts w:hint="eastAsia" w:ascii="宋体" w:hAnsi="宋体" w:eastAsia="宋体" w:cs="宋体"/>
          <w:color w:val="auto"/>
          <w:sz w:val="32"/>
          <w:szCs w:val="32"/>
          <w:highlight w:val="none"/>
          <w:u w:val="single"/>
          <w:lang w:val="en-US" w:eastAsia="zh-CN"/>
        </w:rPr>
        <w:t xml:space="preserve">   </w:t>
      </w:r>
      <w:r>
        <w:rPr>
          <w:rFonts w:hint="eastAsia" w:ascii="宋体" w:hAnsi="宋体" w:eastAsia="宋体" w:cs="宋体"/>
          <w:color w:val="auto"/>
          <w:sz w:val="32"/>
          <w:szCs w:val="32"/>
          <w:highlight w:val="none"/>
          <w:u w:val="none"/>
          <w:lang w:val="en-US" w:eastAsia="zh-CN"/>
        </w:rPr>
        <w:t>（本项目所属行业为餐饮业）</w:t>
      </w:r>
      <w:r>
        <w:rPr>
          <w:rFonts w:hint="eastAsia" w:ascii="宋体" w:hAnsi="宋体" w:eastAsia="宋体" w:cs="宋体"/>
          <w:color w:val="auto"/>
          <w:sz w:val="32"/>
          <w:szCs w:val="32"/>
          <w:highlight w:val="none"/>
          <w:lang w:val="en-US" w:eastAsia="zh-CN"/>
        </w:rPr>
        <w:t>，属于</w:t>
      </w:r>
      <w:r>
        <w:rPr>
          <w:rFonts w:hint="eastAsia" w:ascii="宋体" w:hAnsi="宋体" w:eastAsia="宋体" w:cs="宋体"/>
          <w:color w:val="auto"/>
          <w:sz w:val="32"/>
          <w:szCs w:val="32"/>
          <w:highlight w:val="none"/>
          <w:u w:val="single"/>
          <w:lang w:val="en-US" w:eastAsia="zh-CN"/>
        </w:rPr>
        <w:t xml:space="preserve">     </w:t>
      </w:r>
      <w:r>
        <w:rPr>
          <w:rFonts w:hint="eastAsia" w:ascii="宋体" w:hAnsi="宋体" w:eastAsia="宋体" w:cs="宋体"/>
          <w:color w:val="auto"/>
          <w:sz w:val="32"/>
          <w:szCs w:val="32"/>
          <w:highlight w:val="none"/>
          <w:u w:val="none"/>
          <w:lang w:val="en-US" w:eastAsia="zh-CN"/>
        </w:rPr>
        <w:t>（大型/中型/</w:t>
      </w:r>
      <w:r>
        <w:rPr>
          <w:rFonts w:hint="eastAsia" w:ascii="宋体" w:hAnsi="宋体" w:eastAsia="宋体" w:cs="宋体"/>
          <w:color w:val="auto"/>
          <w:sz w:val="32"/>
          <w:szCs w:val="32"/>
          <w:highlight w:val="none"/>
          <w:lang w:val="en-US" w:eastAsia="zh-CN"/>
        </w:rPr>
        <w:t>小型/微型）企业。</w:t>
      </w:r>
      <w:bookmarkStart w:id="0" w:name="_GoBack"/>
      <w:bookmarkEnd w:id="0"/>
    </w:p>
    <w:p w14:paraId="229CCB8F">
      <w:pPr>
        <w:rPr>
          <w:rFonts w:hint="eastAsia" w:ascii="宋体" w:hAnsi="宋体" w:eastAsia="宋体" w:cs="宋体"/>
          <w:color w:val="auto"/>
          <w:spacing w:val="12"/>
          <w:highlight w:val="none"/>
          <w:lang w:val="en-US" w:eastAsia="zh-CN"/>
        </w:rPr>
      </w:pPr>
    </w:p>
    <w:p w14:paraId="4D31F131">
      <w:pPr>
        <w:rPr>
          <w:rFonts w:hint="eastAsia" w:ascii="宋体" w:hAnsi="宋体" w:eastAsia="宋体" w:cs="宋体"/>
          <w:color w:val="auto"/>
          <w:spacing w:val="12"/>
          <w:highlight w:val="none"/>
          <w:lang w:val="en-US" w:eastAsia="zh-CN"/>
        </w:rPr>
      </w:pPr>
      <w:r>
        <w:rPr>
          <w:rFonts w:hint="eastAsia" w:ascii="宋体" w:hAnsi="宋体" w:eastAsia="宋体" w:cs="宋体"/>
          <w:color w:val="auto"/>
          <w:spacing w:val="12"/>
          <w:highlight w:val="none"/>
          <w:lang w:val="en-US" w:eastAsia="zh-CN"/>
        </w:rPr>
        <w:br w:type="page"/>
      </w:r>
    </w:p>
    <w:p w14:paraId="09DD3546">
      <w:pPr>
        <w:pStyle w:val="3"/>
        <w:spacing w:before="0" w:line="360" w:lineRule="auto"/>
        <w:ind w:left="5196" w:leftChars="0" w:right="106" w:rightChars="0" w:hanging="5196" w:hangingChars="1703"/>
        <w:contextualSpacing/>
        <w:rPr>
          <w:rFonts w:hint="eastAsia" w:ascii="宋体" w:hAnsi="宋体" w:eastAsia="宋体" w:cs="宋体"/>
          <w:color w:val="auto"/>
          <w:spacing w:val="12"/>
          <w:sz w:val="28"/>
          <w:szCs w:val="28"/>
          <w:highlight w:val="none"/>
        </w:rPr>
      </w:pPr>
      <w:r>
        <w:rPr>
          <w:rFonts w:hint="eastAsia" w:ascii="宋体" w:hAnsi="宋体" w:eastAsia="宋体" w:cs="宋体"/>
          <w:color w:val="auto"/>
          <w:spacing w:val="12"/>
          <w:sz w:val="28"/>
          <w:szCs w:val="28"/>
          <w:highlight w:val="none"/>
          <w:lang w:val="en-US" w:eastAsia="zh-CN"/>
        </w:rPr>
        <w:t>附件二：</w:t>
      </w:r>
      <w:r>
        <w:rPr>
          <w:rFonts w:hint="eastAsia" w:ascii="宋体" w:hAnsi="宋体" w:eastAsia="宋体" w:cs="宋体"/>
          <w:color w:val="auto"/>
          <w:spacing w:val="12"/>
          <w:sz w:val="28"/>
          <w:szCs w:val="28"/>
          <w:highlight w:val="none"/>
        </w:rPr>
        <w:t xml:space="preserve"> 采购需求</w:t>
      </w:r>
    </w:p>
    <w:p w14:paraId="1198EF52">
      <w:pPr>
        <w:pStyle w:val="15"/>
        <w:keepNext w:val="0"/>
        <w:keepLines w:val="0"/>
        <w:pageBreakBefore w:val="0"/>
        <w:widowControl/>
        <w:kinsoku/>
        <w:wordWrap/>
        <w:overflowPunct/>
        <w:topLinePunct w:val="0"/>
        <w:autoSpaceDE/>
        <w:autoSpaceDN/>
        <w:bidi w:val="0"/>
        <w:adjustRightInd/>
        <w:snapToGrid w:val="0"/>
        <w:spacing w:line="360" w:lineRule="auto"/>
        <w:textAlignment w:val="auto"/>
        <w:outlineLvl w:val="2"/>
        <w:rPr>
          <w:rFonts w:hint="eastAsia" w:ascii="宋体" w:hAnsi="宋体" w:eastAsia="宋体" w:cs="宋体"/>
          <w:b/>
          <w:color w:val="auto"/>
          <w:sz w:val="20"/>
          <w:szCs w:val="20"/>
          <w:highlight w:val="none"/>
        </w:rPr>
      </w:pPr>
      <w:r>
        <w:rPr>
          <w:rFonts w:hint="eastAsia" w:ascii="宋体" w:hAnsi="宋体" w:eastAsia="宋体" w:cs="宋体"/>
          <w:b/>
          <w:color w:val="auto"/>
          <w:sz w:val="20"/>
          <w:szCs w:val="20"/>
          <w:highlight w:val="none"/>
        </w:rPr>
        <w:t>一、项目概况：</w:t>
      </w:r>
    </w:p>
    <w:p w14:paraId="2F225354">
      <w:pPr>
        <w:pStyle w:val="15"/>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根据《东莞市民政局关于印发&lt;2020年东莞市居家养老“大配餐”工作方案&gt;的通知》(东民〔2020〕77号)及《东莞市居家养老服务管理办法(修订)》（东府办〔2021〕12号）等文件要求，以落实“四个走在全国前列”为总体要求，以建设“湾区都市、品质东莞”为契机，以老年人服务需求为导向，以构建全覆盖的社会化“大配餐”服务体系为切入点，着力推进养老服务供给侧结构性改革，营造共建共治共享社会治理格局，提升老年人幸福感、获得感、安全感。现结合大朗镇实际，将有需求的居家养老服务资助对象全部纳入配餐范围，向社会老年人按不高于成本价的标准提供助餐配餐服务</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lang w:val="en-US" w:eastAsia="zh-CN"/>
        </w:rPr>
        <w:t>且不得使用预制菜提供</w:t>
      </w:r>
      <w:r>
        <w:rPr>
          <w:rFonts w:hint="eastAsia" w:ascii="宋体" w:hAnsi="宋体" w:eastAsia="宋体" w:cs="宋体"/>
          <w:color w:val="auto"/>
          <w:sz w:val="20"/>
          <w:szCs w:val="20"/>
          <w:highlight w:val="none"/>
        </w:rPr>
        <w:t>助餐配餐服务。</w:t>
      </w:r>
    </w:p>
    <w:p w14:paraId="30B775FD">
      <w:pPr>
        <w:pStyle w:val="15"/>
        <w:keepNext w:val="0"/>
        <w:keepLines w:val="0"/>
        <w:pageBreakBefore w:val="0"/>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rPr>
      </w:pPr>
    </w:p>
    <w:p w14:paraId="73CD7D3C">
      <w:pPr>
        <w:pStyle w:val="15"/>
        <w:keepNext w:val="0"/>
        <w:keepLines w:val="0"/>
        <w:pageBreakBefore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1.主要商务要求</w:t>
      </w:r>
    </w:p>
    <w:tbl>
      <w:tblPr>
        <w:tblStyle w:val="11"/>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855"/>
        <w:gridCol w:w="6451"/>
      </w:tblGrid>
      <w:tr w14:paraId="7CD7CF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55" w:type="dxa"/>
            <w:vAlign w:val="center"/>
          </w:tcPr>
          <w:p w14:paraId="6A98677C">
            <w:pPr>
              <w:pStyle w:val="15"/>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标的提供的时间</w:t>
            </w:r>
          </w:p>
        </w:tc>
        <w:tc>
          <w:tcPr>
            <w:tcW w:w="6451" w:type="dxa"/>
            <w:vAlign w:val="center"/>
          </w:tcPr>
          <w:p w14:paraId="5CC59D16">
            <w:pPr>
              <w:pStyle w:val="15"/>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自2026年1月</w:t>
            </w:r>
            <w:r>
              <w:rPr>
                <w:rFonts w:hint="eastAsia" w:ascii="宋体" w:hAnsi="宋体" w:eastAsia="宋体" w:cs="宋体"/>
                <w:color w:val="auto"/>
                <w:sz w:val="20"/>
                <w:szCs w:val="20"/>
                <w:highlight w:val="none"/>
                <w:lang w:val="en-US" w:eastAsia="zh-CN"/>
              </w:rPr>
              <w:t>1日起</w:t>
            </w:r>
            <w:r>
              <w:rPr>
                <w:rFonts w:hint="eastAsia" w:ascii="宋体" w:hAnsi="宋体" w:eastAsia="宋体" w:cs="宋体"/>
                <w:color w:val="auto"/>
                <w:sz w:val="20"/>
                <w:szCs w:val="20"/>
                <w:highlight w:val="none"/>
              </w:rPr>
              <w:t>至2027年12月</w:t>
            </w:r>
            <w:r>
              <w:rPr>
                <w:rFonts w:hint="eastAsia" w:ascii="宋体" w:hAnsi="宋体" w:eastAsia="宋体" w:cs="宋体"/>
                <w:color w:val="auto"/>
                <w:sz w:val="20"/>
                <w:szCs w:val="20"/>
                <w:highlight w:val="none"/>
                <w:lang w:val="en-US" w:eastAsia="zh-CN"/>
              </w:rPr>
              <w:t>31日</w:t>
            </w:r>
            <w:r>
              <w:rPr>
                <w:rFonts w:hint="eastAsia" w:ascii="宋体" w:hAnsi="宋体" w:eastAsia="宋体" w:cs="宋体"/>
                <w:color w:val="auto"/>
                <w:sz w:val="20"/>
                <w:szCs w:val="20"/>
                <w:highlight w:val="none"/>
              </w:rPr>
              <w:t>止</w:t>
            </w:r>
            <w:r>
              <w:rPr>
                <w:rFonts w:hint="eastAsia" w:ascii="宋体" w:hAnsi="宋体" w:eastAsia="宋体" w:cs="宋体"/>
                <w:color w:val="auto"/>
                <w:sz w:val="20"/>
                <w:szCs w:val="20"/>
                <w:highlight w:val="none"/>
              </w:rPr>
              <w:t>。</w:t>
            </w:r>
          </w:p>
        </w:tc>
      </w:tr>
      <w:tr w14:paraId="710FA6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55" w:type="dxa"/>
            <w:vAlign w:val="center"/>
          </w:tcPr>
          <w:p w14:paraId="4B71B0B8">
            <w:pPr>
              <w:pStyle w:val="15"/>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标的提供的地点</w:t>
            </w:r>
          </w:p>
        </w:tc>
        <w:tc>
          <w:tcPr>
            <w:tcW w:w="6451" w:type="dxa"/>
            <w:vAlign w:val="center"/>
          </w:tcPr>
          <w:p w14:paraId="7FFD1E28">
            <w:pPr>
              <w:pStyle w:val="15"/>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东莞市大朗镇</w:t>
            </w:r>
            <w:r>
              <w:rPr>
                <w:rFonts w:hint="eastAsia" w:ascii="宋体" w:hAnsi="宋体" w:eastAsia="宋体" w:cs="宋体"/>
                <w:color w:val="auto"/>
                <w:sz w:val="20"/>
                <w:szCs w:val="20"/>
                <w:highlight w:val="none"/>
              </w:rPr>
              <w:t>。</w:t>
            </w:r>
          </w:p>
        </w:tc>
      </w:tr>
      <w:tr w14:paraId="0ECCFF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55" w:type="dxa"/>
            <w:vAlign w:val="center"/>
          </w:tcPr>
          <w:p w14:paraId="64BD4026">
            <w:pPr>
              <w:pStyle w:val="15"/>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付款方式</w:t>
            </w:r>
          </w:p>
        </w:tc>
        <w:tc>
          <w:tcPr>
            <w:tcW w:w="6451" w:type="dxa"/>
            <w:vAlign w:val="center"/>
          </w:tcPr>
          <w:p w14:paraId="077D0557">
            <w:pPr>
              <w:pStyle w:val="15"/>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期：支付比例100%,本项目预算分担比列为：分散供养特困老人由市补助10元，镇负担12元；居家养老重度或中度失能老人由市补助8元，镇负担9元，个人自付5元；居家养老轻度失能或能力完好的老人由市补助6元，镇负担6元，个人自付10元</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lang w:val="en-US" w:eastAsia="zh-CN"/>
              </w:rPr>
              <w:t>若合同履行期间，补贴政策有变动，按最新的补贴政策执行</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rPr>
              <w:t>。本项目服务费用以餐饮配送签收单</w:t>
            </w:r>
            <w:r>
              <w:rPr>
                <w:rFonts w:hint="eastAsia" w:ascii="宋体" w:hAnsi="宋体" w:eastAsia="宋体" w:cs="宋体"/>
                <w:color w:val="auto"/>
                <w:sz w:val="20"/>
                <w:szCs w:val="20"/>
                <w:highlight w:val="none"/>
                <w:lang w:val="en-US" w:eastAsia="zh-CN"/>
              </w:rPr>
              <w:t>以及</w:t>
            </w:r>
            <w:r>
              <w:rPr>
                <w:rFonts w:hint="eastAsia" w:ascii="宋体" w:hAnsi="宋体" w:eastAsia="宋体" w:cs="宋体"/>
                <w:color w:val="auto"/>
                <w:sz w:val="20"/>
                <w:szCs w:val="20"/>
                <w:highlight w:val="none"/>
              </w:rPr>
              <w:t>监督考核</w:t>
            </w:r>
            <w:r>
              <w:rPr>
                <w:rFonts w:hint="eastAsia" w:ascii="宋体" w:hAnsi="宋体" w:eastAsia="宋体" w:cs="宋体"/>
                <w:color w:val="auto"/>
                <w:sz w:val="20"/>
                <w:szCs w:val="20"/>
                <w:highlight w:val="none"/>
                <w:lang w:val="en-US" w:eastAsia="zh-CN"/>
              </w:rPr>
              <w:t>情况（具体要求详见“3.</w:t>
            </w:r>
            <w:r>
              <w:rPr>
                <w:rFonts w:hint="eastAsia" w:ascii="宋体" w:hAnsi="宋体" w:eastAsia="宋体" w:cs="宋体"/>
                <w:color w:val="auto"/>
                <w:sz w:val="20"/>
                <w:szCs w:val="20"/>
                <w:highlight w:val="none"/>
              </w:rPr>
              <w:t>5.7</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服务考核</w:t>
            </w:r>
            <w:r>
              <w:rPr>
                <w:rFonts w:hint="eastAsia" w:ascii="宋体" w:hAnsi="宋体" w:eastAsia="宋体" w:cs="宋体"/>
                <w:color w:val="auto"/>
                <w:sz w:val="20"/>
                <w:szCs w:val="20"/>
                <w:highlight w:val="none"/>
                <w:lang w:val="en-US" w:eastAsia="zh-CN"/>
              </w:rPr>
              <w:t>”）</w:t>
            </w:r>
            <w:r>
              <w:rPr>
                <w:rFonts w:hint="eastAsia" w:ascii="宋体" w:hAnsi="宋体" w:eastAsia="宋体" w:cs="宋体"/>
                <w:color w:val="auto"/>
                <w:sz w:val="20"/>
                <w:szCs w:val="20"/>
                <w:highlight w:val="none"/>
              </w:rPr>
              <w:t>进行月结算，中标供应商每月5日前向镇公共服务办提交资料，申请经费。资料包括上月就餐人员清单、资助对象名单以及当月菜单等资料。在收到中标供应商开具的发票，并经采购人业务单位及中标供应商共同核对无误后，支付上一个月货款中的市补助费用和镇负担费用给中标供应商，服务对象个人自付费用由中标供应商自行收取。</w:t>
            </w:r>
          </w:p>
        </w:tc>
      </w:tr>
      <w:tr w14:paraId="389FB1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55" w:type="dxa"/>
            <w:vAlign w:val="center"/>
          </w:tcPr>
          <w:p w14:paraId="71EE7AC6">
            <w:pPr>
              <w:pStyle w:val="15"/>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验收要求</w:t>
            </w:r>
          </w:p>
        </w:tc>
        <w:tc>
          <w:tcPr>
            <w:tcW w:w="6451" w:type="dxa"/>
            <w:vAlign w:val="center"/>
          </w:tcPr>
          <w:p w14:paraId="6A5B5FA6">
            <w:pPr>
              <w:pStyle w:val="15"/>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期：（一）验收工作由采购人（或采购人指定的单位）和中标供应商共同进行。（二）在验收时，中标供应商应向采购人提供服务的相关资料，按采购人提出的方式验收。（三）由采购人对配餐服务的质量和数量及其他进行检验。如发现质量和数量等任何一项与采购要求不符，采购人有权拒绝接受。</w:t>
            </w:r>
          </w:p>
        </w:tc>
      </w:tr>
      <w:tr w14:paraId="09DFA9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55" w:type="dxa"/>
            <w:vAlign w:val="center"/>
          </w:tcPr>
          <w:p w14:paraId="5211405E">
            <w:pPr>
              <w:pStyle w:val="15"/>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履约保证金</w:t>
            </w:r>
          </w:p>
        </w:tc>
        <w:tc>
          <w:tcPr>
            <w:tcW w:w="6451" w:type="dxa"/>
            <w:vAlign w:val="center"/>
          </w:tcPr>
          <w:p w14:paraId="7D1473E1">
            <w:pPr>
              <w:pStyle w:val="15"/>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不收取</w:t>
            </w:r>
          </w:p>
        </w:tc>
      </w:tr>
      <w:tr w14:paraId="56AD67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55" w:type="dxa"/>
            <w:vAlign w:val="center"/>
          </w:tcPr>
          <w:p w14:paraId="3D8C9D60">
            <w:pPr>
              <w:pStyle w:val="15"/>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其他</w:t>
            </w:r>
          </w:p>
        </w:tc>
        <w:tc>
          <w:tcPr>
            <w:tcW w:w="6451" w:type="dxa"/>
            <w:vAlign w:val="center"/>
          </w:tcPr>
          <w:p w14:paraId="3B5D17A0">
            <w:pPr>
              <w:pStyle w:val="15"/>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0"/>
                <w:szCs w:val="20"/>
                <w:highlight w:val="none"/>
              </w:rPr>
            </w:pPr>
          </w:p>
        </w:tc>
      </w:tr>
    </w:tbl>
    <w:p w14:paraId="447272AC">
      <w:pPr>
        <w:pStyle w:val="15"/>
        <w:snapToGrid w:val="0"/>
        <w:spacing w:line="360" w:lineRule="auto"/>
        <w:rPr>
          <w:rFonts w:hint="eastAsia" w:ascii="宋体" w:hAnsi="宋体" w:eastAsia="宋体" w:cs="宋体"/>
          <w:color w:val="auto"/>
          <w:highlight w:val="none"/>
        </w:rPr>
      </w:pPr>
    </w:p>
    <w:p w14:paraId="19EAC2C9">
      <w:pPr>
        <w:pStyle w:val="15"/>
        <w:snapToGrid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其他商务需求</w:t>
      </w:r>
    </w:p>
    <w:tbl>
      <w:tblPr>
        <w:tblStyle w:val="11"/>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24"/>
        <w:gridCol w:w="693"/>
        <w:gridCol w:w="5100"/>
        <w:gridCol w:w="1490"/>
      </w:tblGrid>
      <w:tr w14:paraId="51D7C9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024" w:type="dxa"/>
          </w:tcPr>
          <w:p w14:paraId="3C973ECE">
            <w:pPr>
              <w:pStyle w:val="15"/>
              <w:snapToGrid w:val="0"/>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参数性质</w:t>
            </w:r>
          </w:p>
        </w:tc>
        <w:tc>
          <w:tcPr>
            <w:tcW w:w="693" w:type="dxa"/>
          </w:tcPr>
          <w:p w14:paraId="55A73743">
            <w:pPr>
              <w:pStyle w:val="15"/>
              <w:snapToGrid w:val="0"/>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编号</w:t>
            </w:r>
          </w:p>
        </w:tc>
        <w:tc>
          <w:tcPr>
            <w:tcW w:w="5100" w:type="dxa"/>
          </w:tcPr>
          <w:p w14:paraId="18F28B82">
            <w:pPr>
              <w:pStyle w:val="15"/>
              <w:snapToGrid w:val="0"/>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内容明细</w:t>
            </w:r>
          </w:p>
        </w:tc>
        <w:tc>
          <w:tcPr>
            <w:tcW w:w="1490" w:type="dxa"/>
          </w:tcPr>
          <w:p w14:paraId="27890F28">
            <w:pPr>
              <w:pStyle w:val="15"/>
              <w:snapToGrid w:val="0"/>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内容说明</w:t>
            </w:r>
          </w:p>
        </w:tc>
      </w:tr>
      <w:tr w14:paraId="208ACF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vAlign w:val="center"/>
          </w:tcPr>
          <w:p w14:paraId="6E4E18C5">
            <w:pPr>
              <w:pStyle w:val="15"/>
              <w:snapToGrid w:val="0"/>
              <w:spacing w:line="360" w:lineRule="auto"/>
              <w:jc w:val="center"/>
              <w:rPr>
                <w:rFonts w:hint="eastAsia" w:ascii="宋体" w:hAnsi="宋体" w:eastAsia="宋体" w:cs="宋体"/>
                <w:color w:val="auto"/>
                <w:highlight w:val="none"/>
              </w:rPr>
            </w:pPr>
          </w:p>
        </w:tc>
        <w:tc>
          <w:tcPr>
            <w:tcW w:w="693" w:type="dxa"/>
            <w:vAlign w:val="center"/>
          </w:tcPr>
          <w:p w14:paraId="3B8F6709">
            <w:pPr>
              <w:pStyle w:val="15"/>
              <w:snapToGrid w:val="0"/>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5100" w:type="dxa"/>
            <w:vAlign w:val="center"/>
          </w:tcPr>
          <w:p w14:paraId="7E9979AA">
            <w:pPr>
              <w:pStyle w:val="15"/>
              <w:keepNext w:val="0"/>
              <w:keepLines w:val="0"/>
              <w:pageBreakBefore w:val="0"/>
              <w:widowControl/>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本项目为包干项目，配餐标准包含服务期内的团体保险费、各项管理费、人员工资、补贴、工服、劳保福利、劳动用工手续、体检、社会保险费、公积金、风险金和一切税费等全部费用，采购人不再另行支付任何其他费用。中标人必须遵守劳动法最低工资标准等规定。</w:t>
            </w:r>
          </w:p>
        </w:tc>
        <w:tc>
          <w:tcPr>
            <w:tcW w:w="1490" w:type="dxa"/>
            <w:vAlign w:val="center"/>
          </w:tcPr>
          <w:p w14:paraId="27B1D093">
            <w:pPr>
              <w:pStyle w:val="15"/>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报价内容</w:t>
            </w:r>
          </w:p>
        </w:tc>
      </w:tr>
      <w:tr w14:paraId="5B0F52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vAlign w:val="center"/>
          </w:tcPr>
          <w:p w14:paraId="44C7C67E">
            <w:pPr>
              <w:pStyle w:val="15"/>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p>
        </w:tc>
        <w:tc>
          <w:tcPr>
            <w:tcW w:w="693" w:type="dxa"/>
            <w:vAlign w:val="center"/>
          </w:tcPr>
          <w:p w14:paraId="6E1E54D3">
            <w:pPr>
              <w:pStyle w:val="15"/>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w:t>
            </w:r>
          </w:p>
        </w:tc>
        <w:tc>
          <w:tcPr>
            <w:tcW w:w="5100" w:type="dxa"/>
            <w:vAlign w:val="center"/>
          </w:tcPr>
          <w:p w14:paraId="3D53C8B9">
            <w:pPr>
              <w:pStyle w:val="10"/>
              <w:keepNext w:val="0"/>
              <w:keepLines w:val="0"/>
              <w:pageBreakBefore w:val="0"/>
              <w:kinsoku/>
              <w:wordWrap/>
              <w:overflowPunct/>
              <w:topLinePunct w:val="0"/>
              <w:autoSpaceDE/>
              <w:autoSpaceDN/>
              <w:bidi w:val="0"/>
              <w:adjustRightInd/>
              <w:snapToGrid w:val="0"/>
              <w:spacing w:after="0" w:line="360" w:lineRule="auto"/>
              <w:ind w:left="0" w:leftChars="0" w:firstLine="0" w:firstLineChars="0"/>
              <w:textAlignment w:val="auto"/>
              <w:rPr>
                <w:rFonts w:hint="eastAsia" w:ascii="宋体" w:hAnsi="宋体" w:eastAsia="宋体" w:cs="宋体"/>
                <w:bCs w:val="0"/>
                <w:color w:val="auto"/>
                <w:kern w:val="2"/>
                <w:sz w:val="20"/>
                <w:szCs w:val="20"/>
                <w:highlight w:val="none"/>
                <w:lang w:val="en-US" w:eastAsia="zh-CN" w:bidi="ar-SA"/>
              </w:rPr>
            </w:pPr>
            <w:r>
              <w:rPr>
                <w:rFonts w:hint="eastAsia" w:ascii="宋体" w:hAnsi="宋体" w:eastAsia="宋体" w:cs="宋体"/>
                <w:bCs w:val="0"/>
                <w:color w:val="auto"/>
                <w:kern w:val="2"/>
                <w:sz w:val="20"/>
                <w:szCs w:val="20"/>
                <w:highlight w:val="none"/>
                <w:lang w:val="en-US" w:eastAsia="zh-CN" w:bidi="ar-SA"/>
              </w:rPr>
              <w:t>投标人须根据本项目的“技术标准与要求”在评审因素技术部分作出响应，要求如下：</w:t>
            </w:r>
          </w:p>
          <w:p w14:paraId="43713FCE">
            <w:pPr>
              <w:pStyle w:val="10"/>
              <w:keepNext w:val="0"/>
              <w:keepLines w:val="0"/>
              <w:pageBreakBefore w:val="0"/>
              <w:kinsoku/>
              <w:wordWrap/>
              <w:overflowPunct/>
              <w:topLinePunct w:val="0"/>
              <w:autoSpaceDE/>
              <w:autoSpaceDN/>
              <w:bidi w:val="0"/>
              <w:adjustRightInd/>
              <w:snapToGrid w:val="0"/>
              <w:spacing w:after="0" w:line="360" w:lineRule="auto"/>
              <w:ind w:left="0" w:leftChars="0" w:firstLine="0" w:firstLineChars="0"/>
              <w:textAlignment w:val="auto"/>
              <w:rPr>
                <w:rFonts w:hint="default" w:ascii="宋体" w:hAnsi="宋体" w:eastAsia="宋体" w:cs="宋体"/>
                <w:bCs w:val="0"/>
                <w:color w:val="auto"/>
                <w:kern w:val="2"/>
                <w:sz w:val="20"/>
                <w:szCs w:val="20"/>
                <w:highlight w:val="none"/>
                <w:lang w:val="en-US" w:eastAsia="zh-CN" w:bidi="ar-SA"/>
              </w:rPr>
            </w:pPr>
            <w:r>
              <w:rPr>
                <w:rFonts w:hint="eastAsia" w:ascii="宋体" w:hAnsi="宋体" w:eastAsia="宋体" w:cs="宋体"/>
                <w:bCs w:val="0"/>
                <w:color w:val="auto"/>
                <w:kern w:val="2"/>
                <w:sz w:val="20"/>
                <w:szCs w:val="20"/>
                <w:highlight w:val="none"/>
                <w:lang w:val="en-US" w:eastAsia="zh-CN" w:bidi="ar-SA"/>
              </w:rPr>
              <w:t>（1）项目理解：根据投标人对“一、服务范围及配餐标准”及“二、采购内容”的理解，包括但不限于服务对象状况、配送环境、重点难点分析等。</w:t>
            </w:r>
          </w:p>
          <w:p w14:paraId="7F57F44E">
            <w:pPr>
              <w:pStyle w:val="10"/>
              <w:keepNext w:val="0"/>
              <w:keepLines w:val="0"/>
              <w:pageBreakBefore w:val="0"/>
              <w:kinsoku/>
              <w:wordWrap/>
              <w:overflowPunct/>
              <w:topLinePunct w:val="0"/>
              <w:autoSpaceDE/>
              <w:autoSpaceDN/>
              <w:bidi w:val="0"/>
              <w:adjustRightInd/>
              <w:snapToGrid w:val="0"/>
              <w:spacing w:after="0" w:line="360" w:lineRule="auto"/>
              <w:ind w:left="0" w:leftChars="0" w:firstLine="0" w:firstLineChars="0"/>
              <w:textAlignment w:val="auto"/>
              <w:rPr>
                <w:rFonts w:hint="eastAsia" w:ascii="宋体" w:hAnsi="宋体" w:eastAsia="宋体" w:cs="宋体"/>
                <w:bCs w:val="0"/>
                <w:color w:val="auto"/>
                <w:kern w:val="2"/>
                <w:sz w:val="20"/>
                <w:szCs w:val="20"/>
                <w:highlight w:val="none"/>
                <w:lang w:val="en-US" w:eastAsia="zh-CN" w:bidi="ar-SA"/>
              </w:rPr>
            </w:pPr>
            <w:r>
              <w:rPr>
                <w:rFonts w:hint="eastAsia" w:ascii="宋体" w:hAnsi="宋体" w:eastAsia="宋体" w:cs="宋体"/>
                <w:bCs w:val="0"/>
                <w:color w:val="auto"/>
                <w:kern w:val="2"/>
                <w:sz w:val="20"/>
                <w:szCs w:val="20"/>
                <w:highlight w:val="none"/>
                <w:lang w:val="en-US" w:eastAsia="zh-CN" w:bidi="ar-SA"/>
              </w:rPr>
              <w:t>（2）</w:t>
            </w:r>
            <w:r>
              <w:rPr>
                <w:rFonts w:hint="eastAsia" w:ascii="宋体" w:hAnsi="宋体" w:eastAsia="宋体" w:cs="宋体"/>
                <w:color w:val="auto"/>
                <w:sz w:val="20"/>
                <w:szCs w:val="20"/>
                <w:highlight w:val="none"/>
              </w:rPr>
              <w:t>经营管理方案</w:t>
            </w:r>
            <w:r>
              <w:rPr>
                <w:rFonts w:hint="eastAsia" w:ascii="宋体" w:hAnsi="宋体" w:eastAsia="宋体" w:cs="宋体"/>
                <w:bCs w:val="0"/>
                <w:color w:val="auto"/>
                <w:kern w:val="2"/>
                <w:sz w:val="20"/>
                <w:szCs w:val="20"/>
                <w:highlight w:val="none"/>
                <w:lang w:val="en-US" w:eastAsia="zh-CN" w:bidi="ar-SA"/>
              </w:rPr>
              <w:t>：</w:t>
            </w:r>
            <w:r>
              <w:rPr>
                <w:rFonts w:hint="eastAsia" w:ascii="宋体" w:hAnsi="宋体" w:eastAsia="宋体" w:cs="宋体"/>
                <w:color w:val="auto"/>
                <w:sz w:val="20"/>
                <w:szCs w:val="20"/>
                <w:highlight w:val="none"/>
              </w:rPr>
              <w:t>根据投标人</w:t>
            </w:r>
            <w:r>
              <w:rPr>
                <w:rFonts w:hint="eastAsia" w:ascii="宋体" w:hAnsi="宋体" w:eastAsia="宋体" w:cs="宋体"/>
                <w:color w:val="auto"/>
                <w:sz w:val="20"/>
                <w:szCs w:val="20"/>
                <w:highlight w:val="none"/>
                <w:lang w:val="en-US" w:eastAsia="zh-CN"/>
              </w:rPr>
              <w:t>对“3.2 服务要求”</w:t>
            </w:r>
            <w:r>
              <w:rPr>
                <w:rFonts w:hint="eastAsia" w:ascii="宋体" w:hAnsi="宋体" w:eastAsia="宋体" w:cs="宋体"/>
                <w:color w:val="auto"/>
                <w:sz w:val="20"/>
                <w:szCs w:val="20"/>
                <w:highlight w:val="none"/>
              </w:rPr>
              <w:t>提供的经营管理方案</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rPr>
              <w:t>包括但不限于</w:t>
            </w:r>
            <w:r>
              <w:rPr>
                <w:rFonts w:hint="eastAsia" w:ascii="宋体" w:hAnsi="宋体" w:eastAsia="宋体" w:cs="宋体"/>
                <w:color w:val="auto"/>
                <w:sz w:val="20"/>
                <w:szCs w:val="20"/>
                <w:highlight w:val="none"/>
                <w:lang w:val="en-US" w:eastAsia="zh-CN"/>
              </w:rPr>
              <w:t>投标人</w:t>
            </w:r>
            <w:r>
              <w:rPr>
                <w:rFonts w:hint="eastAsia" w:ascii="宋体" w:hAnsi="宋体" w:eastAsia="宋体" w:cs="宋体"/>
                <w:color w:val="auto"/>
                <w:sz w:val="20"/>
                <w:szCs w:val="20"/>
                <w:highlight w:val="none"/>
              </w:rPr>
              <w:t>工作流程安排、岗位职责、人员配置及技术水平等内容</w:t>
            </w:r>
            <w:r>
              <w:rPr>
                <w:rFonts w:hint="eastAsia" w:ascii="宋体" w:hAnsi="宋体" w:eastAsia="宋体" w:cs="宋体"/>
                <w:color w:val="auto"/>
                <w:sz w:val="20"/>
                <w:szCs w:val="20"/>
                <w:highlight w:val="none"/>
                <w:lang w:eastAsia="zh-CN"/>
              </w:rPr>
              <w:t>。</w:t>
            </w:r>
          </w:p>
          <w:p w14:paraId="703FCBBC">
            <w:pPr>
              <w:pStyle w:val="10"/>
              <w:keepNext w:val="0"/>
              <w:keepLines w:val="0"/>
              <w:pageBreakBefore w:val="0"/>
              <w:kinsoku/>
              <w:wordWrap/>
              <w:overflowPunct/>
              <w:topLinePunct w:val="0"/>
              <w:autoSpaceDE/>
              <w:autoSpaceDN/>
              <w:bidi w:val="0"/>
              <w:adjustRightInd/>
              <w:snapToGrid w:val="0"/>
              <w:spacing w:after="0" w:line="360" w:lineRule="auto"/>
              <w:ind w:left="0" w:leftChars="0" w:firstLine="0" w:firstLineChars="0"/>
              <w:textAlignment w:val="auto"/>
              <w:rPr>
                <w:rFonts w:hint="eastAsia" w:ascii="宋体" w:hAnsi="宋体" w:eastAsia="宋体" w:cs="宋体"/>
                <w:bCs w:val="0"/>
                <w:color w:val="auto"/>
                <w:kern w:val="2"/>
                <w:sz w:val="20"/>
                <w:szCs w:val="20"/>
                <w:highlight w:val="none"/>
                <w:lang w:val="en-US" w:eastAsia="zh-CN" w:bidi="ar-SA"/>
              </w:rPr>
            </w:pPr>
            <w:r>
              <w:rPr>
                <w:rFonts w:hint="eastAsia" w:ascii="宋体" w:hAnsi="宋体" w:eastAsia="宋体" w:cs="宋体"/>
                <w:bCs w:val="0"/>
                <w:color w:val="auto"/>
                <w:kern w:val="2"/>
                <w:sz w:val="20"/>
                <w:szCs w:val="20"/>
                <w:highlight w:val="none"/>
                <w:lang w:val="en-US" w:eastAsia="zh-CN" w:bidi="ar-SA"/>
              </w:rPr>
              <w:t>（3）配送方案：</w:t>
            </w:r>
            <w:r>
              <w:rPr>
                <w:rFonts w:hint="eastAsia" w:ascii="宋体" w:hAnsi="宋体" w:eastAsia="宋体" w:cs="宋体"/>
                <w:color w:val="auto"/>
                <w:sz w:val="20"/>
                <w:szCs w:val="20"/>
                <w:highlight w:val="none"/>
              </w:rPr>
              <w:t>根据投标人</w:t>
            </w:r>
            <w:r>
              <w:rPr>
                <w:rFonts w:hint="eastAsia" w:ascii="宋体" w:hAnsi="宋体" w:eastAsia="宋体" w:cs="宋体"/>
                <w:color w:val="auto"/>
                <w:sz w:val="20"/>
                <w:szCs w:val="20"/>
                <w:highlight w:val="none"/>
                <w:lang w:val="en-US" w:eastAsia="zh-CN"/>
              </w:rPr>
              <w:t>对“3.3 配餐要求”</w:t>
            </w:r>
            <w:r>
              <w:rPr>
                <w:rFonts w:hint="eastAsia" w:ascii="宋体" w:hAnsi="宋体" w:eastAsia="宋体" w:cs="宋体"/>
                <w:color w:val="auto"/>
                <w:sz w:val="20"/>
                <w:szCs w:val="20"/>
                <w:highlight w:val="none"/>
              </w:rPr>
              <w:t>提供的配送方案进行综合评审</w:t>
            </w:r>
            <w:r>
              <w:rPr>
                <w:rFonts w:hint="eastAsia" w:ascii="宋体" w:hAnsi="宋体" w:eastAsia="宋体" w:cs="宋体"/>
                <w:color w:val="auto"/>
                <w:sz w:val="20"/>
                <w:szCs w:val="20"/>
                <w:highlight w:val="none"/>
                <w:lang w:eastAsia="zh-CN"/>
              </w:rPr>
              <w:t>。</w:t>
            </w:r>
          </w:p>
          <w:p w14:paraId="2C5E32A8">
            <w:pPr>
              <w:pStyle w:val="10"/>
              <w:keepNext w:val="0"/>
              <w:keepLines w:val="0"/>
              <w:pageBreakBefore w:val="0"/>
              <w:kinsoku/>
              <w:wordWrap/>
              <w:overflowPunct/>
              <w:topLinePunct w:val="0"/>
              <w:autoSpaceDE/>
              <w:autoSpaceDN/>
              <w:bidi w:val="0"/>
              <w:adjustRightInd/>
              <w:snapToGrid w:val="0"/>
              <w:spacing w:after="0" w:line="360" w:lineRule="auto"/>
              <w:ind w:left="0" w:leftChars="0" w:firstLine="0" w:firstLineChars="0"/>
              <w:textAlignment w:val="auto"/>
              <w:rPr>
                <w:rFonts w:hint="eastAsia" w:ascii="宋体" w:hAnsi="宋体" w:eastAsia="宋体" w:cs="宋体"/>
                <w:bCs w:val="0"/>
                <w:color w:val="auto"/>
                <w:kern w:val="2"/>
                <w:sz w:val="20"/>
                <w:szCs w:val="20"/>
                <w:highlight w:val="none"/>
                <w:lang w:val="en-US" w:eastAsia="zh-CN" w:bidi="ar-SA"/>
              </w:rPr>
            </w:pPr>
            <w:r>
              <w:rPr>
                <w:rFonts w:hint="eastAsia" w:ascii="宋体" w:hAnsi="宋体" w:eastAsia="宋体" w:cs="宋体"/>
                <w:bCs w:val="0"/>
                <w:color w:val="auto"/>
                <w:kern w:val="2"/>
                <w:sz w:val="20"/>
                <w:szCs w:val="20"/>
                <w:highlight w:val="none"/>
                <w:lang w:val="en-US" w:eastAsia="zh-CN" w:bidi="ar-SA"/>
              </w:rPr>
              <w:t>（4）</w:t>
            </w:r>
            <w:r>
              <w:rPr>
                <w:rFonts w:hint="eastAsia" w:ascii="宋体" w:hAnsi="宋体" w:eastAsia="宋体" w:cs="宋体"/>
                <w:color w:val="auto"/>
                <w:sz w:val="20"/>
                <w:szCs w:val="20"/>
                <w:highlight w:val="none"/>
              </w:rPr>
              <w:t>菜品菜式</w:t>
            </w:r>
            <w:r>
              <w:rPr>
                <w:rFonts w:hint="eastAsia" w:ascii="宋体" w:hAnsi="宋体" w:eastAsia="宋体" w:cs="宋体"/>
                <w:bCs w:val="0"/>
                <w:color w:val="auto"/>
                <w:kern w:val="2"/>
                <w:sz w:val="20"/>
                <w:szCs w:val="20"/>
                <w:highlight w:val="none"/>
                <w:lang w:val="en-US" w:eastAsia="zh-CN" w:bidi="ar-SA"/>
              </w:rPr>
              <w:t>：</w:t>
            </w:r>
            <w:r>
              <w:rPr>
                <w:rFonts w:hint="eastAsia" w:ascii="宋体" w:hAnsi="宋体" w:eastAsia="宋体" w:cs="宋体"/>
                <w:color w:val="auto"/>
                <w:sz w:val="20"/>
                <w:szCs w:val="20"/>
                <w:highlight w:val="none"/>
              </w:rPr>
              <w:t>根据投标人</w:t>
            </w:r>
            <w:r>
              <w:rPr>
                <w:rFonts w:hint="eastAsia" w:ascii="宋体" w:hAnsi="宋体" w:eastAsia="宋体" w:cs="宋体"/>
                <w:color w:val="auto"/>
                <w:sz w:val="20"/>
                <w:szCs w:val="20"/>
                <w:highlight w:val="none"/>
                <w:lang w:val="en-US" w:eastAsia="zh-CN"/>
              </w:rPr>
              <w:t>对“3.3 配餐要求”</w:t>
            </w:r>
            <w:r>
              <w:rPr>
                <w:rFonts w:hint="eastAsia" w:ascii="宋体" w:hAnsi="宋体" w:eastAsia="宋体" w:cs="宋体"/>
                <w:color w:val="auto"/>
                <w:sz w:val="20"/>
                <w:szCs w:val="20"/>
                <w:highlight w:val="none"/>
              </w:rPr>
              <w:t>提供的餐点种类、菜品菜式、营养成分及是否有根据服务人群进行调整等内容</w:t>
            </w:r>
            <w:r>
              <w:rPr>
                <w:rFonts w:hint="eastAsia" w:ascii="宋体" w:hAnsi="宋体" w:eastAsia="宋体" w:cs="宋体"/>
                <w:color w:val="auto"/>
                <w:sz w:val="20"/>
                <w:szCs w:val="20"/>
                <w:highlight w:val="none"/>
                <w:lang w:eastAsia="zh-CN"/>
              </w:rPr>
              <w:t>。</w:t>
            </w:r>
          </w:p>
          <w:p w14:paraId="28AD425E">
            <w:pPr>
              <w:pStyle w:val="10"/>
              <w:keepNext w:val="0"/>
              <w:keepLines w:val="0"/>
              <w:pageBreakBefore w:val="0"/>
              <w:kinsoku/>
              <w:wordWrap/>
              <w:overflowPunct/>
              <w:topLinePunct w:val="0"/>
              <w:autoSpaceDE/>
              <w:autoSpaceDN/>
              <w:bidi w:val="0"/>
              <w:adjustRightInd/>
              <w:snapToGrid w:val="0"/>
              <w:spacing w:after="0" w:line="360" w:lineRule="auto"/>
              <w:ind w:left="0" w:leftChars="0" w:firstLine="0" w:firstLineChars="0"/>
              <w:textAlignment w:val="auto"/>
              <w:rPr>
                <w:rFonts w:hint="eastAsia" w:ascii="宋体" w:hAnsi="宋体" w:eastAsia="宋体" w:cs="宋体"/>
                <w:bCs w:val="0"/>
                <w:color w:val="auto"/>
                <w:kern w:val="2"/>
                <w:sz w:val="20"/>
                <w:szCs w:val="20"/>
                <w:highlight w:val="none"/>
                <w:lang w:val="en-US" w:eastAsia="zh-CN" w:bidi="ar-SA"/>
              </w:rPr>
            </w:pPr>
            <w:r>
              <w:rPr>
                <w:rFonts w:hint="eastAsia" w:ascii="宋体" w:hAnsi="宋体" w:eastAsia="宋体" w:cs="宋体"/>
                <w:bCs w:val="0"/>
                <w:color w:val="auto"/>
                <w:kern w:val="2"/>
                <w:sz w:val="20"/>
                <w:szCs w:val="20"/>
                <w:highlight w:val="none"/>
                <w:lang w:val="en-US" w:eastAsia="zh-CN" w:bidi="ar-SA"/>
              </w:rPr>
              <w:t>（5）</w:t>
            </w:r>
            <w:r>
              <w:rPr>
                <w:rFonts w:hint="eastAsia" w:ascii="宋体" w:hAnsi="宋体" w:eastAsia="宋体" w:cs="宋体"/>
                <w:color w:val="auto"/>
                <w:sz w:val="20"/>
                <w:szCs w:val="20"/>
                <w:highlight w:val="none"/>
              </w:rPr>
              <w:t>服务承诺及质量保证措施</w:t>
            </w:r>
            <w:r>
              <w:rPr>
                <w:rFonts w:hint="eastAsia" w:ascii="宋体" w:hAnsi="宋体" w:eastAsia="宋体" w:cs="宋体"/>
                <w:bCs w:val="0"/>
                <w:color w:val="auto"/>
                <w:kern w:val="2"/>
                <w:sz w:val="20"/>
                <w:szCs w:val="20"/>
                <w:highlight w:val="none"/>
                <w:lang w:val="en-US" w:eastAsia="zh-CN" w:bidi="ar-SA"/>
              </w:rPr>
              <w:t>：根</w:t>
            </w:r>
            <w:r>
              <w:rPr>
                <w:rFonts w:hint="eastAsia" w:ascii="宋体" w:hAnsi="宋体" w:eastAsia="宋体" w:cs="宋体"/>
                <w:color w:val="auto"/>
                <w:sz w:val="20"/>
                <w:szCs w:val="20"/>
                <w:highlight w:val="none"/>
              </w:rPr>
              <w:t>据投标人</w:t>
            </w:r>
            <w:r>
              <w:rPr>
                <w:rFonts w:hint="eastAsia" w:ascii="宋体" w:hAnsi="宋体" w:eastAsia="宋体" w:cs="宋体"/>
                <w:color w:val="auto"/>
                <w:sz w:val="20"/>
                <w:szCs w:val="20"/>
                <w:highlight w:val="none"/>
                <w:lang w:val="en-US" w:eastAsia="zh-CN"/>
              </w:rPr>
              <w:t>对“3.4 服务管理要求”及“3.5 其它要求”</w:t>
            </w:r>
            <w:r>
              <w:rPr>
                <w:rFonts w:hint="eastAsia" w:ascii="宋体" w:hAnsi="宋体" w:eastAsia="宋体" w:cs="宋体"/>
                <w:color w:val="auto"/>
                <w:sz w:val="20"/>
                <w:szCs w:val="20"/>
                <w:highlight w:val="none"/>
              </w:rPr>
              <w:t>提供的服务承诺方案及承诺、食物卫生、安全的标准、控制措施、质量保证措施等</w:t>
            </w:r>
            <w:r>
              <w:rPr>
                <w:rFonts w:hint="eastAsia" w:ascii="宋体" w:hAnsi="宋体" w:eastAsia="宋体" w:cs="宋体"/>
                <w:color w:val="auto"/>
                <w:sz w:val="20"/>
                <w:szCs w:val="20"/>
                <w:highlight w:val="none"/>
                <w:lang w:eastAsia="zh-CN"/>
              </w:rPr>
              <w:t>。</w:t>
            </w:r>
          </w:p>
          <w:p w14:paraId="470549AB">
            <w:pPr>
              <w:pStyle w:val="10"/>
              <w:keepNext w:val="0"/>
              <w:keepLines w:val="0"/>
              <w:pageBreakBefore w:val="0"/>
              <w:kinsoku/>
              <w:wordWrap/>
              <w:overflowPunct/>
              <w:topLinePunct w:val="0"/>
              <w:autoSpaceDE/>
              <w:autoSpaceDN/>
              <w:bidi w:val="0"/>
              <w:adjustRightInd/>
              <w:snapToGrid w:val="0"/>
              <w:spacing w:after="0" w:line="360" w:lineRule="auto"/>
              <w:ind w:left="0" w:leftChars="0" w:firstLine="0" w:firstLineChars="0"/>
              <w:textAlignment w:val="auto"/>
              <w:rPr>
                <w:rFonts w:hint="eastAsia" w:ascii="宋体" w:hAnsi="宋体" w:eastAsia="宋体" w:cs="宋体"/>
                <w:color w:val="auto"/>
                <w:sz w:val="20"/>
                <w:szCs w:val="20"/>
                <w:highlight w:val="none"/>
                <w:lang w:eastAsia="zh-CN"/>
              </w:rPr>
            </w:pPr>
            <w:r>
              <w:rPr>
                <w:rFonts w:hint="eastAsia" w:ascii="宋体" w:hAnsi="宋体" w:eastAsia="宋体" w:cs="宋体"/>
                <w:bCs w:val="0"/>
                <w:color w:val="auto"/>
                <w:kern w:val="2"/>
                <w:sz w:val="20"/>
                <w:szCs w:val="20"/>
                <w:highlight w:val="none"/>
                <w:lang w:val="en-US" w:eastAsia="zh-CN" w:bidi="ar-SA"/>
              </w:rPr>
              <w:t>（6）</w:t>
            </w:r>
            <w:r>
              <w:rPr>
                <w:rFonts w:hint="eastAsia" w:ascii="宋体" w:hAnsi="宋体" w:eastAsia="宋体" w:cs="宋体"/>
                <w:color w:val="auto"/>
                <w:sz w:val="20"/>
                <w:szCs w:val="20"/>
                <w:highlight w:val="none"/>
              </w:rPr>
              <w:t>应急方案</w:t>
            </w:r>
            <w:r>
              <w:rPr>
                <w:rFonts w:hint="eastAsia" w:ascii="宋体" w:hAnsi="宋体" w:eastAsia="宋体" w:cs="宋体"/>
                <w:color w:val="auto"/>
                <w:sz w:val="20"/>
                <w:szCs w:val="20"/>
                <w:highlight w:val="none"/>
                <w:lang w:val="en-US" w:eastAsia="zh-CN"/>
              </w:rPr>
              <w:t>：</w:t>
            </w:r>
            <w:r>
              <w:rPr>
                <w:rFonts w:hint="eastAsia" w:ascii="宋体" w:hAnsi="宋体" w:eastAsia="宋体" w:cs="宋体"/>
                <w:color w:val="auto"/>
                <w:sz w:val="20"/>
                <w:szCs w:val="20"/>
                <w:highlight w:val="none"/>
              </w:rPr>
              <w:t>根据投标人</w:t>
            </w:r>
            <w:r>
              <w:rPr>
                <w:rFonts w:hint="eastAsia" w:ascii="宋体" w:hAnsi="宋体" w:eastAsia="宋体" w:cs="宋体"/>
                <w:color w:val="auto"/>
                <w:sz w:val="20"/>
                <w:szCs w:val="20"/>
                <w:highlight w:val="none"/>
                <w:lang w:val="en-US" w:eastAsia="zh-CN"/>
              </w:rPr>
              <w:t>对“五、特殊情况下服务保障要求”</w:t>
            </w:r>
            <w:r>
              <w:rPr>
                <w:rFonts w:hint="eastAsia" w:ascii="宋体" w:hAnsi="宋体" w:eastAsia="宋体" w:cs="宋体"/>
                <w:color w:val="auto"/>
                <w:sz w:val="20"/>
                <w:szCs w:val="20"/>
                <w:highlight w:val="none"/>
              </w:rPr>
              <w:t>制定的应急方案</w:t>
            </w:r>
            <w:r>
              <w:rPr>
                <w:rFonts w:hint="eastAsia" w:ascii="宋体" w:hAnsi="宋体" w:eastAsia="宋体" w:cs="宋体"/>
                <w:color w:val="auto"/>
                <w:sz w:val="20"/>
                <w:szCs w:val="20"/>
                <w:highlight w:val="none"/>
                <w:lang w:eastAsia="zh-CN"/>
              </w:rPr>
              <w:t>。</w:t>
            </w:r>
          </w:p>
        </w:tc>
        <w:tc>
          <w:tcPr>
            <w:tcW w:w="1490" w:type="dxa"/>
            <w:vAlign w:val="center"/>
          </w:tcPr>
          <w:p w14:paraId="3B1D441B">
            <w:pPr>
              <w:keepNext w:val="0"/>
              <w:keepLines w:val="0"/>
              <w:pageBreakBefore w:val="0"/>
              <w:kinsoku/>
              <w:wordWrap/>
              <w:overflowPunct/>
              <w:topLinePunct w:val="0"/>
              <w:autoSpaceDE/>
              <w:autoSpaceDN/>
              <w:bidi w:val="0"/>
              <w:adjustRightInd/>
              <w:snapToGrid w:val="0"/>
              <w:spacing w:line="360" w:lineRule="auto"/>
              <w:contextualSpacing/>
              <w:jc w:val="center"/>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投标文件响应要求</w:t>
            </w:r>
          </w:p>
        </w:tc>
      </w:tr>
      <w:tr w14:paraId="10AA53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vAlign w:val="center"/>
          </w:tcPr>
          <w:p w14:paraId="1C0C4AE4">
            <w:pPr>
              <w:pStyle w:val="15"/>
              <w:snapToGrid w:val="0"/>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w:t>
            </w:r>
          </w:p>
        </w:tc>
        <w:tc>
          <w:tcPr>
            <w:tcW w:w="693" w:type="dxa"/>
            <w:vAlign w:val="center"/>
          </w:tcPr>
          <w:p w14:paraId="1334BCF5">
            <w:pPr>
              <w:pStyle w:val="15"/>
              <w:snapToGrid w:val="0"/>
              <w:spacing w:line="360" w:lineRule="auto"/>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w:t>
            </w:r>
          </w:p>
        </w:tc>
        <w:tc>
          <w:tcPr>
            <w:tcW w:w="5100" w:type="dxa"/>
            <w:vAlign w:val="center"/>
          </w:tcPr>
          <w:p w14:paraId="012399A5">
            <w:pPr>
              <w:pStyle w:val="15"/>
              <w:snapToGrid w:val="0"/>
              <w:spacing w:line="360" w:lineRule="auto"/>
              <w:jc w:val="both"/>
              <w:rPr>
                <w:rFonts w:hint="eastAsia" w:ascii="宋体" w:hAnsi="宋体" w:eastAsia="宋体" w:cs="宋体"/>
                <w:color w:val="auto"/>
                <w:highlight w:val="none"/>
                <w:lang w:eastAsia="zh-CN"/>
              </w:rPr>
            </w:pPr>
            <w:r>
              <w:rPr>
                <w:rFonts w:hint="eastAsia" w:ascii="宋体" w:hAnsi="宋体" w:eastAsia="宋体" w:cs="宋体"/>
                <w:color w:val="auto"/>
                <w:sz w:val="20"/>
                <w:szCs w:val="20"/>
                <w:highlight w:val="none"/>
                <w:lang w:val="en-US" w:eastAsia="zh-CN"/>
              </w:rPr>
              <w:t>投标人不得使用预制菜提供</w:t>
            </w:r>
            <w:r>
              <w:rPr>
                <w:rFonts w:hint="eastAsia" w:ascii="宋体" w:hAnsi="宋体" w:eastAsia="宋体" w:cs="宋体"/>
                <w:color w:val="auto"/>
                <w:sz w:val="20"/>
                <w:szCs w:val="20"/>
                <w:highlight w:val="none"/>
              </w:rPr>
              <w:t>助餐配餐服务</w:t>
            </w:r>
            <w:r>
              <w:rPr>
                <w:rFonts w:hint="eastAsia" w:ascii="宋体" w:hAnsi="宋体" w:eastAsia="宋体" w:cs="宋体"/>
                <w:color w:val="auto"/>
                <w:sz w:val="20"/>
                <w:szCs w:val="20"/>
                <w:highlight w:val="none"/>
                <w:lang w:eastAsia="zh-CN"/>
              </w:rPr>
              <w:t>。</w:t>
            </w:r>
          </w:p>
        </w:tc>
        <w:tc>
          <w:tcPr>
            <w:tcW w:w="1490" w:type="dxa"/>
            <w:vAlign w:val="center"/>
          </w:tcPr>
          <w:p w14:paraId="4F82E78B">
            <w:pPr>
              <w:pStyle w:val="15"/>
              <w:snapToGrid w:val="0"/>
              <w:spacing w:line="360" w:lineRule="auto"/>
              <w:jc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烹饪要求</w:t>
            </w:r>
          </w:p>
        </w:tc>
      </w:tr>
      <w:tr w14:paraId="12B940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vAlign w:val="center"/>
          </w:tcPr>
          <w:p w14:paraId="6789BFCB">
            <w:pPr>
              <w:pStyle w:val="15"/>
              <w:snapToGrid w:val="0"/>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说明</w:t>
            </w:r>
          </w:p>
        </w:tc>
        <w:tc>
          <w:tcPr>
            <w:tcW w:w="7283" w:type="dxa"/>
            <w:gridSpan w:val="3"/>
          </w:tcPr>
          <w:p w14:paraId="5924A4BD">
            <w:pPr>
              <w:pStyle w:val="15"/>
              <w:snapToGrid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打“★”号条款为实质性条款，若有任何一条负偏离或不满足则导致投标（响应）无效。</w:t>
            </w:r>
          </w:p>
          <w:p w14:paraId="627F493E">
            <w:pPr>
              <w:pStyle w:val="15"/>
              <w:snapToGrid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打“▲”号条款为重要参数（如有），若有部分“▲”条款未响应或不满足，将根据评审要求影响其得分，但不作为无效投标（响应）条款。</w:t>
            </w:r>
          </w:p>
        </w:tc>
      </w:tr>
    </w:tbl>
    <w:p w14:paraId="141BFEF4">
      <w:pPr>
        <w:pStyle w:val="15"/>
        <w:keepNext w:val="0"/>
        <w:keepLines w:val="0"/>
        <w:pageBreakBefore w:val="0"/>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rPr>
      </w:pPr>
    </w:p>
    <w:p w14:paraId="20F7A8FD">
      <w:pPr>
        <w:pStyle w:val="15"/>
        <w:keepNext w:val="0"/>
        <w:keepLines w:val="0"/>
        <w:pageBreakBefore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2.技术标准与要求</w:t>
      </w:r>
    </w:p>
    <w:tbl>
      <w:tblPr>
        <w:tblStyle w:val="11"/>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518"/>
        <w:gridCol w:w="700"/>
        <w:gridCol w:w="1575"/>
        <w:gridCol w:w="675"/>
        <w:gridCol w:w="660"/>
        <w:gridCol w:w="1416"/>
        <w:gridCol w:w="1416"/>
        <w:gridCol w:w="745"/>
        <w:gridCol w:w="817"/>
      </w:tblGrid>
      <w:tr w14:paraId="1FD0ED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518" w:type="dxa"/>
            <w:vAlign w:val="center"/>
          </w:tcPr>
          <w:p w14:paraId="2E3E34D6">
            <w:pPr>
              <w:pStyle w:val="15"/>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序号</w:t>
            </w:r>
          </w:p>
        </w:tc>
        <w:tc>
          <w:tcPr>
            <w:tcW w:w="700" w:type="dxa"/>
            <w:vAlign w:val="center"/>
          </w:tcPr>
          <w:p w14:paraId="4DB75FE1">
            <w:pPr>
              <w:pStyle w:val="15"/>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品目名称</w:t>
            </w:r>
          </w:p>
        </w:tc>
        <w:tc>
          <w:tcPr>
            <w:tcW w:w="1575" w:type="dxa"/>
            <w:vAlign w:val="center"/>
          </w:tcPr>
          <w:p w14:paraId="1C7E5BC3">
            <w:pPr>
              <w:pStyle w:val="15"/>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标的名称</w:t>
            </w:r>
          </w:p>
        </w:tc>
        <w:tc>
          <w:tcPr>
            <w:tcW w:w="675" w:type="dxa"/>
            <w:vAlign w:val="center"/>
          </w:tcPr>
          <w:p w14:paraId="61F6EF4A">
            <w:pPr>
              <w:pStyle w:val="15"/>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单位</w:t>
            </w:r>
          </w:p>
        </w:tc>
        <w:tc>
          <w:tcPr>
            <w:tcW w:w="660" w:type="dxa"/>
            <w:vAlign w:val="center"/>
          </w:tcPr>
          <w:p w14:paraId="25D7C16F">
            <w:pPr>
              <w:pStyle w:val="15"/>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数量</w:t>
            </w:r>
          </w:p>
        </w:tc>
        <w:tc>
          <w:tcPr>
            <w:tcW w:w="1416" w:type="dxa"/>
            <w:vAlign w:val="center"/>
          </w:tcPr>
          <w:p w14:paraId="2191E80B">
            <w:pPr>
              <w:pStyle w:val="15"/>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分项预算单价（元）</w:t>
            </w:r>
          </w:p>
        </w:tc>
        <w:tc>
          <w:tcPr>
            <w:tcW w:w="1416" w:type="dxa"/>
            <w:vAlign w:val="center"/>
          </w:tcPr>
          <w:p w14:paraId="181A10EA">
            <w:pPr>
              <w:pStyle w:val="15"/>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分项预算总价（元）</w:t>
            </w:r>
          </w:p>
        </w:tc>
        <w:tc>
          <w:tcPr>
            <w:tcW w:w="745" w:type="dxa"/>
            <w:vAlign w:val="center"/>
          </w:tcPr>
          <w:p w14:paraId="1792F60E">
            <w:pPr>
              <w:pStyle w:val="15"/>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所属行业</w:t>
            </w:r>
          </w:p>
        </w:tc>
        <w:tc>
          <w:tcPr>
            <w:tcW w:w="817" w:type="dxa"/>
            <w:vAlign w:val="center"/>
          </w:tcPr>
          <w:p w14:paraId="2900898A">
            <w:pPr>
              <w:pStyle w:val="15"/>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技术要求</w:t>
            </w:r>
          </w:p>
        </w:tc>
      </w:tr>
      <w:tr w14:paraId="0FDA8E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18" w:type="dxa"/>
            <w:vAlign w:val="center"/>
          </w:tcPr>
          <w:p w14:paraId="4822D834">
            <w:pPr>
              <w:pStyle w:val="15"/>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w:t>
            </w:r>
          </w:p>
        </w:tc>
        <w:tc>
          <w:tcPr>
            <w:tcW w:w="700" w:type="dxa"/>
            <w:vAlign w:val="center"/>
          </w:tcPr>
          <w:p w14:paraId="0CAE7E92">
            <w:pPr>
              <w:pStyle w:val="15"/>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餐饮服务</w:t>
            </w:r>
          </w:p>
        </w:tc>
        <w:tc>
          <w:tcPr>
            <w:tcW w:w="1575" w:type="dxa"/>
            <w:vAlign w:val="center"/>
          </w:tcPr>
          <w:p w14:paraId="5527FDED">
            <w:pPr>
              <w:pStyle w:val="15"/>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大朗镇居家养老“大配餐”项目</w:t>
            </w:r>
          </w:p>
        </w:tc>
        <w:tc>
          <w:tcPr>
            <w:tcW w:w="675" w:type="dxa"/>
            <w:vAlign w:val="center"/>
          </w:tcPr>
          <w:p w14:paraId="73A5C01E">
            <w:pPr>
              <w:pStyle w:val="15"/>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项</w:t>
            </w:r>
          </w:p>
        </w:tc>
        <w:tc>
          <w:tcPr>
            <w:tcW w:w="660" w:type="dxa"/>
            <w:vAlign w:val="center"/>
          </w:tcPr>
          <w:p w14:paraId="7784F613">
            <w:pPr>
              <w:pStyle w:val="15"/>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1.00</w:t>
            </w:r>
          </w:p>
        </w:tc>
        <w:tc>
          <w:tcPr>
            <w:tcW w:w="1416" w:type="dxa"/>
            <w:vAlign w:val="center"/>
          </w:tcPr>
          <w:p w14:paraId="65884888">
            <w:pPr>
              <w:pStyle w:val="15"/>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1,861,500.00</w:t>
            </w:r>
          </w:p>
        </w:tc>
        <w:tc>
          <w:tcPr>
            <w:tcW w:w="1416" w:type="dxa"/>
            <w:vAlign w:val="center"/>
          </w:tcPr>
          <w:p w14:paraId="3758E4B0">
            <w:pPr>
              <w:pStyle w:val="15"/>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1,861,500.00</w:t>
            </w:r>
          </w:p>
        </w:tc>
        <w:tc>
          <w:tcPr>
            <w:tcW w:w="745" w:type="dxa"/>
            <w:vAlign w:val="center"/>
          </w:tcPr>
          <w:p w14:paraId="6111E777">
            <w:pPr>
              <w:pStyle w:val="15"/>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餐饮业</w:t>
            </w:r>
          </w:p>
        </w:tc>
        <w:tc>
          <w:tcPr>
            <w:tcW w:w="817" w:type="dxa"/>
            <w:vAlign w:val="center"/>
          </w:tcPr>
          <w:p w14:paraId="4B44B7B3">
            <w:pPr>
              <w:pStyle w:val="15"/>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详见附表一</w:t>
            </w:r>
          </w:p>
        </w:tc>
      </w:tr>
    </w:tbl>
    <w:p w14:paraId="0A88FAA7">
      <w:pPr>
        <w:pStyle w:val="15"/>
        <w:keepNext w:val="0"/>
        <w:keepLines w:val="0"/>
        <w:pageBreakBefore w:val="0"/>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rPr>
      </w:pPr>
    </w:p>
    <w:p w14:paraId="3E3F5FD4">
      <w:pPr>
        <w:pStyle w:val="15"/>
        <w:keepNext w:val="0"/>
        <w:keepLines w:val="0"/>
        <w:pageBreakBefore w:val="0"/>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lang w:eastAsia="zh-CN"/>
        </w:rPr>
      </w:pPr>
      <w:r>
        <w:rPr>
          <w:rFonts w:hint="eastAsia" w:ascii="宋体" w:hAnsi="宋体" w:eastAsia="宋体" w:cs="宋体"/>
          <w:b/>
          <w:color w:val="auto"/>
          <w:sz w:val="20"/>
          <w:szCs w:val="20"/>
          <w:highlight w:val="none"/>
        </w:rPr>
        <w:t>附表一：</w:t>
      </w:r>
      <w:r>
        <w:rPr>
          <w:rFonts w:hint="eastAsia" w:ascii="宋体" w:hAnsi="宋体" w:eastAsia="宋体" w:cs="宋体"/>
          <w:b/>
          <w:color w:val="auto"/>
          <w:sz w:val="20"/>
          <w:szCs w:val="20"/>
          <w:highlight w:val="none"/>
          <w:lang w:eastAsia="zh-CN"/>
        </w:rPr>
        <w:t>大朗镇居家养老“大配餐”项目</w:t>
      </w:r>
    </w:p>
    <w:p w14:paraId="149D22F9">
      <w:pPr>
        <w:pStyle w:val="15"/>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b/>
          <w:color w:val="auto"/>
          <w:sz w:val="20"/>
          <w:szCs w:val="20"/>
          <w:highlight w:val="none"/>
        </w:rPr>
      </w:pPr>
    </w:p>
    <w:p w14:paraId="3B9F8C7F">
      <w:pPr>
        <w:pStyle w:val="15"/>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一、服务范围及配餐标准</w:t>
      </w:r>
    </w:p>
    <w:p w14:paraId="4AE1FE4C">
      <w:pPr>
        <w:pStyle w:val="15"/>
        <w:keepNext w:val="0"/>
        <w:keepLines w:val="0"/>
        <w:pageBreakBefore w:val="0"/>
        <w:kinsoku/>
        <w:wordWrap/>
        <w:overflowPunct/>
        <w:topLinePunct w:val="0"/>
        <w:autoSpaceDE/>
        <w:autoSpaceDN/>
        <w:bidi w:val="0"/>
        <w:adjustRightInd/>
        <w:snapToGrid w:val="0"/>
        <w:spacing w:line="360" w:lineRule="auto"/>
        <w:ind w:firstLine="400" w:firstLineChars="20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66</w:t>
      </w:r>
      <w:r>
        <w:rPr>
          <w:rFonts w:hint="eastAsia" w:ascii="宋体" w:hAnsi="宋体" w:eastAsia="宋体" w:cs="宋体"/>
          <w:color w:val="auto"/>
          <w:sz w:val="20"/>
          <w:szCs w:val="20"/>
          <w:highlight w:val="none"/>
          <w:lang w:val="en-US" w:eastAsia="zh-CN"/>
        </w:rPr>
        <w:t>0</w:t>
      </w:r>
      <w:r>
        <w:rPr>
          <w:rFonts w:hint="eastAsia" w:ascii="宋体" w:hAnsi="宋体" w:eastAsia="宋体" w:cs="宋体"/>
          <w:color w:val="auto"/>
          <w:sz w:val="20"/>
          <w:szCs w:val="20"/>
          <w:highlight w:val="none"/>
        </w:rPr>
        <w:t>人（其中：分散供养特困老人</w:t>
      </w: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人，重度或中度失能老人</w:t>
      </w:r>
      <w:r>
        <w:rPr>
          <w:rFonts w:hint="eastAsia" w:ascii="宋体" w:hAnsi="宋体" w:eastAsia="宋体" w:cs="宋体"/>
          <w:color w:val="auto"/>
          <w:sz w:val="20"/>
          <w:szCs w:val="20"/>
          <w:highlight w:val="none"/>
          <w:lang w:val="en-US" w:eastAsia="zh-CN"/>
        </w:rPr>
        <w:t>658</w:t>
      </w:r>
      <w:r>
        <w:rPr>
          <w:rFonts w:hint="eastAsia" w:ascii="宋体" w:hAnsi="宋体" w:eastAsia="宋体" w:cs="宋体"/>
          <w:color w:val="auto"/>
          <w:sz w:val="20"/>
          <w:szCs w:val="20"/>
          <w:highlight w:val="none"/>
        </w:rPr>
        <w:t>人，轻度失能或能力完好的老人</w:t>
      </w:r>
      <w:r>
        <w:rPr>
          <w:rFonts w:hint="eastAsia" w:ascii="宋体" w:hAnsi="宋体" w:eastAsia="宋体" w:cs="宋体"/>
          <w:color w:val="auto"/>
          <w:sz w:val="20"/>
          <w:szCs w:val="20"/>
          <w:highlight w:val="none"/>
          <w:lang w:val="en-US" w:eastAsia="zh-CN"/>
        </w:rPr>
        <w:t>0</w:t>
      </w:r>
      <w:r>
        <w:rPr>
          <w:rFonts w:hint="eastAsia" w:ascii="宋体" w:hAnsi="宋体" w:eastAsia="宋体" w:cs="宋体"/>
          <w:color w:val="auto"/>
          <w:sz w:val="20"/>
          <w:szCs w:val="20"/>
          <w:highlight w:val="none"/>
        </w:rPr>
        <w:t>人，以实际人数为准）。</w:t>
      </w:r>
    </w:p>
    <w:p w14:paraId="30902B99">
      <w:pPr>
        <w:pStyle w:val="15"/>
        <w:keepNext w:val="0"/>
        <w:keepLines w:val="0"/>
        <w:pageBreakBefore w:val="0"/>
        <w:kinsoku/>
        <w:wordWrap/>
        <w:overflowPunct/>
        <w:topLinePunct w:val="0"/>
        <w:autoSpaceDE/>
        <w:autoSpaceDN/>
        <w:bidi w:val="0"/>
        <w:adjustRightInd/>
        <w:snapToGrid w:val="0"/>
        <w:spacing w:line="360" w:lineRule="auto"/>
        <w:ind w:firstLine="44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1.2 </w:t>
      </w:r>
      <w:r>
        <w:rPr>
          <w:rFonts w:hint="eastAsia" w:ascii="宋体" w:hAnsi="宋体" w:eastAsia="宋体" w:cs="宋体"/>
          <w:color w:val="auto"/>
          <w:sz w:val="20"/>
          <w:szCs w:val="20"/>
          <w:highlight w:val="none"/>
        </w:rPr>
        <w:t>配餐标准按照每人每天配送一餐（中午配送），每餐22元（含配送费）标准进行配餐。</w:t>
      </w:r>
    </w:p>
    <w:p w14:paraId="13D40D50">
      <w:pPr>
        <w:pStyle w:val="15"/>
        <w:keepNext w:val="0"/>
        <w:keepLines w:val="0"/>
        <w:pageBreakBefore w:val="0"/>
        <w:kinsoku/>
        <w:wordWrap/>
        <w:overflowPunct/>
        <w:topLinePunct w:val="0"/>
        <w:autoSpaceDE/>
        <w:autoSpaceDN/>
        <w:bidi w:val="0"/>
        <w:adjustRightInd/>
        <w:snapToGrid w:val="0"/>
        <w:spacing w:line="360" w:lineRule="auto"/>
        <w:ind w:firstLine="44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1.3 </w:t>
      </w:r>
      <w:r>
        <w:rPr>
          <w:rFonts w:hint="eastAsia" w:ascii="宋体" w:hAnsi="宋体" w:eastAsia="宋体" w:cs="宋体"/>
          <w:color w:val="auto"/>
          <w:sz w:val="20"/>
          <w:szCs w:val="20"/>
          <w:highlight w:val="none"/>
        </w:rPr>
        <w:t>配餐费用承担比例：</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29"/>
        <w:gridCol w:w="1488"/>
        <w:gridCol w:w="1300"/>
        <w:gridCol w:w="1237"/>
        <w:gridCol w:w="1316"/>
      </w:tblGrid>
      <w:tr w14:paraId="79D09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29" w:type="dxa"/>
            <w:tcMar>
              <w:top w:w="0" w:type="dxa"/>
              <w:left w:w="105" w:type="dxa"/>
              <w:bottom w:w="0" w:type="dxa"/>
              <w:right w:w="105" w:type="dxa"/>
            </w:tcMar>
            <w:vAlign w:val="center"/>
          </w:tcPr>
          <w:p w14:paraId="30B240D6">
            <w:pPr>
              <w:pStyle w:val="15"/>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类型</w:t>
            </w:r>
          </w:p>
        </w:tc>
        <w:tc>
          <w:tcPr>
            <w:tcW w:w="1488" w:type="dxa"/>
            <w:tcMar>
              <w:top w:w="0" w:type="dxa"/>
              <w:left w:w="105" w:type="dxa"/>
              <w:bottom w:w="0" w:type="dxa"/>
              <w:right w:w="105" w:type="dxa"/>
            </w:tcMar>
            <w:vAlign w:val="center"/>
          </w:tcPr>
          <w:p w14:paraId="3FB86BCE">
            <w:pPr>
              <w:pStyle w:val="15"/>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市补助金额（元）</w:t>
            </w:r>
          </w:p>
        </w:tc>
        <w:tc>
          <w:tcPr>
            <w:tcW w:w="1300" w:type="dxa"/>
            <w:tcMar>
              <w:top w:w="0" w:type="dxa"/>
              <w:left w:w="105" w:type="dxa"/>
              <w:bottom w:w="0" w:type="dxa"/>
              <w:right w:w="105" w:type="dxa"/>
            </w:tcMar>
            <w:vAlign w:val="center"/>
          </w:tcPr>
          <w:p w14:paraId="2B872543">
            <w:pPr>
              <w:pStyle w:val="15"/>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镇负担金额（元）</w:t>
            </w:r>
          </w:p>
        </w:tc>
        <w:tc>
          <w:tcPr>
            <w:tcW w:w="1237" w:type="dxa"/>
            <w:tcMar>
              <w:top w:w="0" w:type="dxa"/>
              <w:left w:w="105" w:type="dxa"/>
              <w:bottom w:w="0" w:type="dxa"/>
              <w:right w:w="105" w:type="dxa"/>
            </w:tcMar>
            <w:vAlign w:val="center"/>
          </w:tcPr>
          <w:p w14:paraId="5A7E1561">
            <w:pPr>
              <w:pStyle w:val="15"/>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个人自付（元）</w:t>
            </w:r>
          </w:p>
        </w:tc>
        <w:tc>
          <w:tcPr>
            <w:tcW w:w="1316" w:type="dxa"/>
            <w:tcMar>
              <w:top w:w="0" w:type="dxa"/>
              <w:left w:w="105" w:type="dxa"/>
              <w:bottom w:w="0" w:type="dxa"/>
              <w:right w:w="105" w:type="dxa"/>
            </w:tcMar>
            <w:vAlign w:val="center"/>
          </w:tcPr>
          <w:p w14:paraId="084A1E2A">
            <w:pPr>
              <w:pStyle w:val="15"/>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合计</w:t>
            </w:r>
          </w:p>
        </w:tc>
      </w:tr>
      <w:tr w14:paraId="7A601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29" w:type="dxa"/>
            <w:tcMar>
              <w:top w:w="0" w:type="dxa"/>
              <w:left w:w="105" w:type="dxa"/>
              <w:bottom w:w="0" w:type="dxa"/>
              <w:right w:w="105" w:type="dxa"/>
            </w:tcMar>
            <w:vAlign w:val="center"/>
          </w:tcPr>
          <w:p w14:paraId="0C7BF08C">
            <w:pPr>
              <w:pStyle w:val="15"/>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特困老人</w:t>
            </w:r>
          </w:p>
        </w:tc>
        <w:tc>
          <w:tcPr>
            <w:tcW w:w="1488" w:type="dxa"/>
            <w:tcMar>
              <w:top w:w="0" w:type="dxa"/>
              <w:left w:w="105" w:type="dxa"/>
              <w:bottom w:w="0" w:type="dxa"/>
              <w:right w:w="105" w:type="dxa"/>
            </w:tcMar>
            <w:vAlign w:val="center"/>
          </w:tcPr>
          <w:p w14:paraId="4345407C">
            <w:pPr>
              <w:pStyle w:val="15"/>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12</w:t>
            </w:r>
          </w:p>
        </w:tc>
        <w:tc>
          <w:tcPr>
            <w:tcW w:w="1300" w:type="dxa"/>
            <w:tcMar>
              <w:top w:w="0" w:type="dxa"/>
              <w:left w:w="105" w:type="dxa"/>
              <w:bottom w:w="0" w:type="dxa"/>
              <w:right w:w="105" w:type="dxa"/>
            </w:tcMar>
            <w:vAlign w:val="center"/>
          </w:tcPr>
          <w:p w14:paraId="4D749CD7">
            <w:pPr>
              <w:pStyle w:val="15"/>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w:t>
            </w:r>
          </w:p>
        </w:tc>
        <w:tc>
          <w:tcPr>
            <w:tcW w:w="1237" w:type="dxa"/>
            <w:tcMar>
              <w:top w:w="0" w:type="dxa"/>
              <w:left w:w="105" w:type="dxa"/>
              <w:bottom w:w="0" w:type="dxa"/>
              <w:right w:w="105" w:type="dxa"/>
            </w:tcMar>
            <w:vAlign w:val="center"/>
          </w:tcPr>
          <w:p w14:paraId="57B9E71D">
            <w:pPr>
              <w:pStyle w:val="15"/>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0</w:t>
            </w:r>
          </w:p>
        </w:tc>
        <w:tc>
          <w:tcPr>
            <w:tcW w:w="1316" w:type="dxa"/>
            <w:vMerge w:val="restart"/>
            <w:tcMar>
              <w:top w:w="0" w:type="dxa"/>
              <w:left w:w="105" w:type="dxa"/>
              <w:bottom w:w="0" w:type="dxa"/>
              <w:right w:w="105" w:type="dxa"/>
            </w:tcMar>
            <w:vAlign w:val="center"/>
          </w:tcPr>
          <w:p w14:paraId="5B190F96">
            <w:pPr>
              <w:pStyle w:val="15"/>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22元/餐</w:t>
            </w:r>
          </w:p>
        </w:tc>
      </w:tr>
      <w:tr w14:paraId="39B17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29" w:type="dxa"/>
            <w:tcMar>
              <w:top w:w="0" w:type="dxa"/>
              <w:left w:w="105" w:type="dxa"/>
              <w:bottom w:w="0" w:type="dxa"/>
              <w:right w:w="105" w:type="dxa"/>
            </w:tcMar>
            <w:vAlign w:val="center"/>
          </w:tcPr>
          <w:p w14:paraId="351DDDF8">
            <w:pPr>
              <w:pStyle w:val="15"/>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重度或中度失能老人</w:t>
            </w:r>
          </w:p>
        </w:tc>
        <w:tc>
          <w:tcPr>
            <w:tcW w:w="1488" w:type="dxa"/>
            <w:tcMar>
              <w:top w:w="0" w:type="dxa"/>
              <w:left w:w="105" w:type="dxa"/>
              <w:bottom w:w="0" w:type="dxa"/>
              <w:right w:w="105" w:type="dxa"/>
            </w:tcMar>
            <w:vAlign w:val="center"/>
          </w:tcPr>
          <w:p w14:paraId="77D943C9">
            <w:pPr>
              <w:pStyle w:val="15"/>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w:t>
            </w:r>
          </w:p>
        </w:tc>
        <w:tc>
          <w:tcPr>
            <w:tcW w:w="1300" w:type="dxa"/>
            <w:tcMar>
              <w:top w:w="0" w:type="dxa"/>
              <w:left w:w="105" w:type="dxa"/>
              <w:bottom w:w="0" w:type="dxa"/>
              <w:right w:w="105" w:type="dxa"/>
            </w:tcMar>
            <w:vAlign w:val="center"/>
          </w:tcPr>
          <w:p w14:paraId="72876236">
            <w:pPr>
              <w:pStyle w:val="15"/>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9</w:t>
            </w:r>
          </w:p>
        </w:tc>
        <w:tc>
          <w:tcPr>
            <w:tcW w:w="1237" w:type="dxa"/>
            <w:tcMar>
              <w:top w:w="0" w:type="dxa"/>
              <w:left w:w="105" w:type="dxa"/>
              <w:bottom w:w="0" w:type="dxa"/>
              <w:right w:w="105" w:type="dxa"/>
            </w:tcMar>
            <w:vAlign w:val="center"/>
          </w:tcPr>
          <w:p w14:paraId="79E8ACC0">
            <w:pPr>
              <w:pStyle w:val="15"/>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w:t>
            </w:r>
          </w:p>
        </w:tc>
        <w:tc>
          <w:tcPr>
            <w:tcW w:w="1316" w:type="dxa"/>
            <w:vMerge w:val="continue"/>
          </w:tcPr>
          <w:p w14:paraId="7100B3F1">
            <w:pPr>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0"/>
                <w:szCs w:val="20"/>
                <w:highlight w:val="none"/>
              </w:rPr>
            </w:pPr>
          </w:p>
        </w:tc>
      </w:tr>
      <w:tr w14:paraId="76AC1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29" w:type="dxa"/>
            <w:tcMar>
              <w:top w:w="0" w:type="dxa"/>
              <w:left w:w="105" w:type="dxa"/>
              <w:bottom w:w="0" w:type="dxa"/>
              <w:right w:w="105" w:type="dxa"/>
            </w:tcMar>
            <w:vAlign w:val="center"/>
          </w:tcPr>
          <w:p w14:paraId="31087000">
            <w:pPr>
              <w:pStyle w:val="15"/>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轻度失能或能力完好的老人</w:t>
            </w:r>
          </w:p>
        </w:tc>
        <w:tc>
          <w:tcPr>
            <w:tcW w:w="1488" w:type="dxa"/>
            <w:tcMar>
              <w:top w:w="0" w:type="dxa"/>
              <w:left w:w="105" w:type="dxa"/>
              <w:bottom w:w="0" w:type="dxa"/>
              <w:right w:w="105" w:type="dxa"/>
            </w:tcMar>
            <w:vAlign w:val="center"/>
          </w:tcPr>
          <w:p w14:paraId="29E461AA">
            <w:pPr>
              <w:pStyle w:val="15"/>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w:t>
            </w:r>
          </w:p>
        </w:tc>
        <w:tc>
          <w:tcPr>
            <w:tcW w:w="1300" w:type="dxa"/>
            <w:tcMar>
              <w:top w:w="0" w:type="dxa"/>
              <w:left w:w="105" w:type="dxa"/>
              <w:bottom w:w="0" w:type="dxa"/>
              <w:right w:w="105" w:type="dxa"/>
            </w:tcMar>
            <w:vAlign w:val="center"/>
          </w:tcPr>
          <w:p w14:paraId="2AB7F609">
            <w:pPr>
              <w:pStyle w:val="15"/>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w:t>
            </w:r>
          </w:p>
        </w:tc>
        <w:tc>
          <w:tcPr>
            <w:tcW w:w="1237" w:type="dxa"/>
            <w:tcMar>
              <w:top w:w="0" w:type="dxa"/>
              <w:left w:w="105" w:type="dxa"/>
              <w:bottom w:w="0" w:type="dxa"/>
              <w:right w:w="105" w:type="dxa"/>
            </w:tcMar>
            <w:vAlign w:val="center"/>
          </w:tcPr>
          <w:p w14:paraId="0BF51BBA">
            <w:pPr>
              <w:pStyle w:val="15"/>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w:t>
            </w:r>
          </w:p>
        </w:tc>
        <w:tc>
          <w:tcPr>
            <w:tcW w:w="1316" w:type="dxa"/>
            <w:vMerge w:val="continue"/>
          </w:tcPr>
          <w:p w14:paraId="321F6C18">
            <w:pPr>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0"/>
                <w:szCs w:val="20"/>
                <w:highlight w:val="none"/>
              </w:rPr>
            </w:pPr>
          </w:p>
        </w:tc>
      </w:tr>
      <w:tr w14:paraId="04F34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0" w:type="dxa"/>
            <w:gridSpan w:val="5"/>
            <w:tcMar>
              <w:top w:w="0" w:type="dxa"/>
              <w:left w:w="105" w:type="dxa"/>
              <w:bottom w:w="0" w:type="dxa"/>
              <w:right w:w="105" w:type="dxa"/>
            </w:tcMar>
            <w:vAlign w:val="center"/>
          </w:tcPr>
          <w:p w14:paraId="0F9CBCF5">
            <w:pPr>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备注：若合同履行期间，补贴政策有变动，按最新的补贴政策执行。</w:t>
            </w:r>
          </w:p>
        </w:tc>
      </w:tr>
    </w:tbl>
    <w:p w14:paraId="0BBD008D">
      <w:pPr>
        <w:pStyle w:val="15"/>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b/>
          <w:color w:val="auto"/>
          <w:sz w:val="20"/>
          <w:szCs w:val="20"/>
          <w:highlight w:val="none"/>
        </w:rPr>
      </w:pPr>
    </w:p>
    <w:p w14:paraId="22E42485">
      <w:pPr>
        <w:pStyle w:val="15"/>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二、采购内容</w:t>
      </w:r>
    </w:p>
    <w:p w14:paraId="14002B60">
      <w:pPr>
        <w:pStyle w:val="15"/>
        <w:keepNext w:val="0"/>
        <w:keepLines w:val="0"/>
        <w:pageBreakBefore w:val="0"/>
        <w:kinsoku/>
        <w:wordWrap/>
        <w:overflowPunct/>
        <w:topLinePunct w:val="0"/>
        <w:autoSpaceDE/>
        <w:autoSpaceDN/>
        <w:bidi w:val="0"/>
        <w:adjustRightInd/>
        <w:snapToGrid w:val="0"/>
        <w:spacing w:line="360" w:lineRule="auto"/>
        <w:ind w:firstLine="44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2.1 </w:t>
      </w:r>
      <w:r>
        <w:rPr>
          <w:rFonts w:hint="eastAsia" w:ascii="宋体" w:hAnsi="宋体" w:eastAsia="宋体" w:cs="宋体"/>
          <w:color w:val="auto"/>
          <w:sz w:val="20"/>
          <w:szCs w:val="20"/>
          <w:highlight w:val="none"/>
        </w:rPr>
        <w:t>确定1家中标供应商，为本项目服务范围内居家养老服务对象提供配餐服务。设置专区配送，并根据老年人生理特点开发老年套餐，满足老年人特色供餐、聚餐等多样化需求，同时配餐机构利用多种技术或方式保鲜配送到各村（社区）固定助餐点，再由村（社区）负责将配餐由村（社区）固定助餐点到服务对象之间的配送服务，并负责回收餐具。注意服务资格的取得并不意味着餐饮配送服务的售出，采购人在任何情况下无法预计，也无法向中标供应商保证每月餐饮配送服务的数量及餐饮配送服务的采购金额，投标单位在参与投标时应充分考虑到本项目的成本及投标风险。</w:t>
      </w:r>
    </w:p>
    <w:p w14:paraId="3A0EF332">
      <w:pPr>
        <w:pStyle w:val="15"/>
        <w:keepNext w:val="0"/>
        <w:keepLines w:val="0"/>
        <w:pageBreakBefore w:val="0"/>
        <w:kinsoku/>
        <w:wordWrap/>
        <w:overflowPunct/>
        <w:topLinePunct w:val="0"/>
        <w:autoSpaceDE/>
        <w:autoSpaceDN/>
        <w:bidi w:val="0"/>
        <w:adjustRightInd/>
        <w:snapToGrid w:val="0"/>
        <w:spacing w:line="360" w:lineRule="auto"/>
        <w:ind w:firstLine="44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2.2 </w:t>
      </w:r>
      <w:r>
        <w:rPr>
          <w:rFonts w:hint="eastAsia" w:ascii="宋体" w:hAnsi="宋体" w:eastAsia="宋体" w:cs="宋体"/>
          <w:color w:val="auto"/>
          <w:sz w:val="20"/>
          <w:szCs w:val="20"/>
          <w:highlight w:val="none"/>
        </w:rPr>
        <w:t>中标供应商自行提供厨房、基本厨房设备进行膳食烹煮。</w:t>
      </w:r>
    </w:p>
    <w:p w14:paraId="27F9EE5E">
      <w:pPr>
        <w:pStyle w:val="15"/>
        <w:keepNext w:val="0"/>
        <w:keepLines w:val="0"/>
        <w:pageBreakBefore w:val="0"/>
        <w:kinsoku/>
        <w:wordWrap/>
        <w:overflowPunct/>
        <w:topLinePunct w:val="0"/>
        <w:autoSpaceDE/>
        <w:autoSpaceDN/>
        <w:bidi w:val="0"/>
        <w:adjustRightInd/>
        <w:snapToGrid w:val="0"/>
        <w:spacing w:line="360" w:lineRule="auto"/>
        <w:ind w:firstLine="44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2.3 </w:t>
      </w:r>
      <w:r>
        <w:rPr>
          <w:rFonts w:hint="eastAsia" w:ascii="宋体" w:hAnsi="宋体" w:eastAsia="宋体" w:cs="宋体"/>
          <w:color w:val="auto"/>
          <w:sz w:val="20"/>
          <w:szCs w:val="20"/>
          <w:highlight w:val="none"/>
        </w:rPr>
        <w:t>投标人须承诺，在中标服务期内，中标供应商必须无条件接受采购人安排的餐饮配送服务，不得以数量太少或金额太小为由拒绝提供服务，且对采购人安排的餐饮配送服务数量及金额多少无任何异议，</w:t>
      </w:r>
      <w:r>
        <w:rPr>
          <w:rFonts w:hint="eastAsia" w:ascii="宋体" w:hAnsi="宋体" w:eastAsia="宋体" w:cs="宋体"/>
          <w:color w:val="auto"/>
          <w:sz w:val="20"/>
          <w:szCs w:val="20"/>
          <w:highlight w:val="none"/>
          <w:lang w:val="en-US" w:eastAsia="zh-CN"/>
        </w:rPr>
        <w:t>且应无条件根据最新的补贴政策执行，</w:t>
      </w:r>
      <w:r>
        <w:rPr>
          <w:rFonts w:hint="eastAsia" w:ascii="宋体" w:hAnsi="宋体" w:eastAsia="宋体" w:cs="宋体"/>
          <w:color w:val="auto"/>
          <w:sz w:val="20"/>
          <w:szCs w:val="20"/>
          <w:highlight w:val="none"/>
        </w:rPr>
        <w:t>否则采购人有权提前解除合同终止中标供应商的服务资格。（须提供单独承诺函加盖投标人公章）</w:t>
      </w:r>
    </w:p>
    <w:p w14:paraId="6CDC51E1">
      <w:pPr>
        <w:pStyle w:val="15"/>
        <w:keepNext w:val="0"/>
        <w:keepLines w:val="0"/>
        <w:pageBreakBefore w:val="0"/>
        <w:kinsoku/>
        <w:wordWrap/>
        <w:overflowPunct/>
        <w:topLinePunct w:val="0"/>
        <w:autoSpaceDE/>
        <w:autoSpaceDN/>
        <w:bidi w:val="0"/>
        <w:adjustRightInd/>
        <w:snapToGrid w:val="0"/>
        <w:spacing w:line="360" w:lineRule="auto"/>
        <w:ind w:firstLine="44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2.4 </w:t>
      </w:r>
      <w:r>
        <w:rPr>
          <w:rFonts w:hint="eastAsia" w:ascii="宋体" w:hAnsi="宋体" w:eastAsia="宋体" w:cs="宋体"/>
          <w:color w:val="auto"/>
          <w:sz w:val="20"/>
          <w:szCs w:val="20"/>
          <w:highlight w:val="none"/>
        </w:rPr>
        <w:t>结算金额以采购人核准的实际产生的采购金额为准，中标供应商餐饮配送服务的采购金额累计结算不超过本项目采购预算。</w:t>
      </w:r>
    </w:p>
    <w:p w14:paraId="21802D3D">
      <w:pPr>
        <w:pStyle w:val="15"/>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b/>
          <w:color w:val="auto"/>
          <w:sz w:val="20"/>
          <w:szCs w:val="20"/>
          <w:highlight w:val="none"/>
        </w:rPr>
      </w:pPr>
    </w:p>
    <w:p w14:paraId="11C34803">
      <w:pPr>
        <w:pStyle w:val="15"/>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三、项目要求</w:t>
      </w:r>
    </w:p>
    <w:p w14:paraId="5AA01469">
      <w:pPr>
        <w:pStyle w:val="15"/>
        <w:keepNext w:val="0"/>
        <w:keepLines w:val="0"/>
        <w:pageBreakBefore w:val="0"/>
        <w:kinsoku/>
        <w:wordWrap/>
        <w:overflowPunct/>
        <w:topLinePunct w:val="0"/>
        <w:autoSpaceDE/>
        <w:autoSpaceDN/>
        <w:bidi w:val="0"/>
        <w:adjustRightInd/>
        <w:snapToGrid w:val="0"/>
        <w:spacing w:line="360" w:lineRule="auto"/>
        <w:ind w:firstLine="440"/>
        <w:jc w:val="both"/>
        <w:textAlignment w:val="auto"/>
        <w:rPr>
          <w:rFonts w:hint="eastAsia" w:ascii="宋体" w:hAnsi="宋体" w:eastAsia="宋体" w:cs="宋体"/>
          <w:b/>
          <w:bCs/>
          <w:color w:val="auto"/>
          <w:sz w:val="20"/>
          <w:szCs w:val="20"/>
          <w:highlight w:val="none"/>
        </w:rPr>
      </w:pPr>
      <w:r>
        <w:rPr>
          <w:rFonts w:hint="eastAsia" w:ascii="宋体" w:hAnsi="宋体" w:eastAsia="宋体" w:cs="宋体"/>
          <w:b/>
          <w:bCs/>
          <w:color w:val="auto"/>
          <w:sz w:val="20"/>
          <w:szCs w:val="20"/>
          <w:highlight w:val="none"/>
          <w:lang w:val="en-US" w:eastAsia="zh-CN"/>
        </w:rPr>
        <w:t xml:space="preserve">3.1 </w:t>
      </w:r>
      <w:r>
        <w:rPr>
          <w:rFonts w:hint="eastAsia" w:ascii="宋体" w:hAnsi="宋体" w:eastAsia="宋体" w:cs="宋体"/>
          <w:b/>
          <w:bCs/>
          <w:color w:val="auto"/>
          <w:sz w:val="20"/>
          <w:szCs w:val="20"/>
          <w:highlight w:val="none"/>
        </w:rPr>
        <w:t>投标人要求</w:t>
      </w:r>
    </w:p>
    <w:p w14:paraId="2C586F98">
      <w:pPr>
        <w:pStyle w:val="15"/>
        <w:keepNext w:val="0"/>
        <w:keepLines w:val="0"/>
        <w:pageBreakBefore w:val="0"/>
        <w:kinsoku/>
        <w:wordWrap/>
        <w:overflowPunct/>
        <w:topLinePunct w:val="0"/>
        <w:autoSpaceDE/>
        <w:autoSpaceDN/>
        <w:bidi w:val="0"/>
        <w:adjustRightInd/>
        <w:snapToGrid w:val="0"/>
        <w:spacing w:line="360" w:lineRule="auto"/>
        <w:ind w:firstLine="44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3.1.1 </w:t>
      </w:r>
      <w:r>
        <w:rPr>
          <w:rFonts w:hint="eastAsia" w:ascii="宋体" w:hAnsi="宋体" w:eastAsia="宋体" w:cs="宋体"/>
          <w:color w:val="auto"/>
          <w:sz w:val="20"/>
          <w:szCs w:val="20"/>
          <w:highlight w:val="none"/>
        </w:rPr>
        <w:t>投标人需符合《中华人民共和国食品安全法》、《食品经营许可管理办法》、《广东省市场监督管理局关于印发《食品经营许可的实施细则（试行）》的通知（粤市监规字〔2019〕2号）等文件对B级或以上饭堂的标准要求。</w:t>
      </w:r>
    </w:p>
    <w:p w14:paraId="46698F56">
      <w:pPr>
        <w:pStyle w:val="15"/>
        <w:keepNext w:val="0"/>
        <w:keepLines w:val="0"/>
        <w:pageBreakBefore w:val="0"/>
        <w:kinsoku/>
        <w:wordWrap/>
        <w:overflowPunct/>
        <w:topLinePunct w:val="0"/>
        <w:autoSpaceDE/>
        <w:autoSpaceDN/>
        <w:bidi w:val="0"/>
        <w:adjustRightInd/>
        <w:snapToGrid w:val="0"/>
        <w:spacing w:line="360" w:lineRule="auto"/>
        <w:ind w:firstLine="44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3.</w:t>
      </w:r>
      <w:r>
        <w:rPr>
          <w:rFonts w:hint="eastAsia" w:ascii="宋体" w:hAnsi="宋体" w:eastAsia="宋体" w:cs="宋体"/>
          <w:color w:val="auto"/>
          <w:sz w:val="20"/>
          <w:szCs w:val="20"/>
          <w:highlight w:val="none"/>
        </w:rPr>
        <w:t>1.2投标人在制作投标文件时须提供《食品安全承诺书》加盖投标人公章。（内容详见《食品安全承诺书》）。</w:t>
      </w:r>
    </w:p>
    <w:p w14:paraId="1777A22E">
      <w:pPr>
        <w:pStyle w:val="15"/>
        <w:keepNext w:val="0"/>
        <w:keepLines w:val="0"/>
        <w:pageBreakBefore w:val="0"/>
        <w:kinsoku/>
        <w:wordWrap/>
        <w:overflowPunct/>
        <w:topLinePunct w:val="0"/>
        <w:autoSpaceDE/>
        <w:autoSpaceDN/>
        <w:bidi w:val="0"/>
        <w:adjustRightInd/>
        <w:snapToGrid w:val="0"/>
        <w:spacing w:line="360" w:lineRule="auto"/>
        <w:ind w:firstLine="440"/>
        <w:jc w:val="both"/>
        <w:textAlignment w:val="auto"/>
        <w:rPr>
          <w:rFonts w:hint="eastAsia" w:ascii="宋体" w:hAnsi="宋体" w:eastAsia="宋体" w:cs="宋体"/>
          <w:b/>
          <w:bCs/>
          <w:color w:val="auto"/>
          <w:sz w:val="20"/>
          <w:szCs w:val="20"/>
          <w:highlight w:val="none"/>
        </w:rPr>
      </w:pPr>
      <w:r>
        <w:rPr>
          <w:rFonts w:hint="eastAsia" w:ascii="宋体" w:hAnsi="宋体" w:eastAsia="宋体" w:cs="宋体"/>
          <w:b/>
          <w:bCs/>
          <w:color w:val="auto"/>
          <w:sz w:val="20"/>
          <w:szCs w:val="20"/>
          <w:highlight w:val="none"/>
          <w:lang w:val="en-US" w:eastAsia="zh-CN"/>
        </w:rPr>
        <w:t xml:space="preserve">3.2 </w:t>
      </w:r>
      <w:r>
        <w:rPr>
          <w:rFonts w:hint="eastAsia" w:ascii="宋体" w:hAnsi="宋体" w:eastAsia="宋体" w:cs="宋体"/>
          <w:b/>
          <w:bCs/>
          <w:color w:val="auto"/>
          <w:sz w:val="20"/>
          <w:szCs w:val="20"/>
          <w:highlight w:val="none"/>
        </w:rPr>
        <w:t>服务要求</w:t>
      </w:r>
    </w:p>
    <w:p w14:paraId="4EAD40E8">
      <w:pPr>
        <w:pStyle w:val="15"/>
        <w:keepNext w:val="0"/>
        <w:keepLines w:val="0"/>
        <w:pageBreakBefore w:val="0"/>
        <w:kinsoku/>
        <w:wordWrap/>
        <w:overflowPunct/>
        <w:topLinePunct w:val="0"/>
        <w:autoSpaceDE/>
        <w:autoSpaceDN/>
        <w:bidi w:val="0"/>
        <w:adjustRightInd/>
        <w:snapToGrid w:val="0"/>
        <w:spacing w:line="360" w:lineRule="auto"/>
        <w:ind w:firstLine="44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3.2.1 </w:t>
      </w:r>
      <w:r>
        <w:rPr>
          <w:rFonts w:hint="eastAsia" w:ascii="宋体" w:hAnsi="宋体" w:eastAsia="宋体" w:cs="宋体"/>
          <w:color w:val="auto"/>
          <w:sz w:val="20"/>
          <w:szCs w:val="20"/>
          <w:highlight w:val="none"/>
        </w:rPr>
        <w:t>人员要求：</w:t>
      </w:r>
    </w:p>
    <w:p w14:paraId="07AE4424">
      <w:pPr>
        <w:pStyle w:val="15"/>
        <w:keepNext w:val="0"/>
        <w:keepLines w:val="0"/>
        <w:pageBreakBefore w:val="0"/>
        <w:kinsoku/>
        <w:wordWrap/>
        <w:overflowPunct/>
        <w:topLinePunct w:val="0"/>
        <w:autoSpaceDE/>
        <w:autoSpaceDN/>
        <w:bidi w:val="0"/>
        <w:adjustRightInd/>
        <w:snapToGrid w:val="0"/>
        <w:spacing w:line="360" w:lineRule="auto"/>
        <w:ind w:firstLine="44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3.</w:t>
      </w:r>
      <w:r>
        <w:rPr>
          <w:rFonts w:hint="eastAsia" w:ascii="宋体" w:hAnsi="宋体" w:eastAsia="宋体" w:cs="宋体"/>
          <w:color w:val="auto"/>
          <w:sz w:val="20"/>
          <w:szCs w:val="20"/>
          <w:highlight w:val="none"/>
        </w:rPr>
        <w:t>2.1</w:t>
      </w:r>
      <w:r>
        <w:rPr>
          <w:rFonts w:hint="eastAsia" w:ascii="宋体" w:hAnsi="宋体" w:eastAsia="宋体" w:cs="宋体"/>
          <w:color w:val="auto"/>
          <w:sz w:val="20"/>
          <w:szCs w:val="20"/>
          <w:highlight w:val="none"/>
          <w:lang w:val="en-US" w:eastAsia="zh-CN"/>
        </w:rPr>
        <w:t xml:space="preserve">.1 </w:t>
      </w:r>
      <w:r>
        <w:rPr>
          <w:rFonts w:hint="eastAsia" w:ascii="宋体" w:hAnsi="宋体" w:eastAsia="宋体" w:cs="宋体"/>
          <w:color w:val="auto"/>
          <w:sz w:val="20"/>
          <w:szCs w:val="20"/>
          <w:highlight w:val="none"/>
        </w:rPr>
        <w:t>中标供应商应根据用餐人数及配餐人数为本项目配备足够的工作人员，原则上不少于</w:t>
      </w:r>
      <w:r>
        <w:rPr>
          <w:rFonts w:hint="eastAsia" w:ascii="宋体" w:hAnsi="宋体" w:eastAsia="宋体" w:cs="宋体"/>
          <w:color w:val="auto"/>
          <w:sz w:val="20"/>
          <w:szCs w:val="20"/>
          <w:highlight w:val="none"/>
        </w:rPr>
        <w:t>1名项目管理人员、2名厨师、1名营养师及不少于</w:t>
      </w:r>
      <w:r>
        <w:rPr>
          <w:rFonts w:hint="eastAsia" w:ascii="宋体" w:hAnsi="宋体" w:eastAsia="宋体" w:cs="宋体"/>
          <w:color w:val="auto"/>
          <w:sz w:val="20"/>
          <w:szCs w:val="20"/>
          <w:highlight w:val="none"/>
          <w:lang w:val="en-US" w:eastAsia="zh-CN"/>
        </w:rPr>
        <w:t>3</w:t>
      </w:r>
      <w:r>
        <w:rPr>
          <w:rFonts w:hint="eastAsia" w:ascii="宋体" w:hAnsi="宋体" w:eastAsia="宋体" w:cs="宋体"/>
          <w:color w:val="auto"/>
          <w:sz w:val="20"/>
          <w:szCs w:val="20"/>
          <w:highlight w:val="none"/>
        </w:rPr>
        <w:t>人的配送团队</w:t>
      </w:r>
      <w:r>
        <w:rPr>
          <w:rFonts w:hint="eastAsia" w:ascii="宋体" w:hAnsi="宋体" w:eastAsia="宋体" w:cs="宋体"/>
          <w:color w:val="auto"/>
          <w:sz w:val="20"/>
          <w:szCs w:val="20"/>
          <w:highlight w:val="none"/>
        </w:rPr>
        <w:t>，具体人数与采购方共同商定，以双方签订合同为准。</w:t>
      </w:r>
    </w:p>
    <w:p w14:paraId="3C6A07AB">
      <w:pPr>
        <w:pStyle w:val="15"/>
        <w:keepNext w:val="0"/>
        <w:keepLines w:val="0"/>
        <w:pageBreakBefore w:val="0"/>
        <w:kinsoku/>
        <w:wordWrap/>
        <w:overflowPunct/>
        <w:topLinePunct w:val="0"/>
        <w:autoSpaceDE/>
        <w:autoSpaceDN/>
        <w:bidi w:val="0"/>
        <w:adjustRightInd/>
        <w:snapToGrid w:val="0"/>
        <w:spacing w:line="360" w:lineRule="auto"/>
        <w:ind w:firstLine="44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3.2.1.2 </w:t>
      </w:r>
      <w:r>
        <w:rPr>
          <w:rFonts w:hint="eastAsia" w:ascii="宋体" w:hAnsi="宋体" w:eastAsia="宋体" w:cs="宋体"/>
          <w:color w:val="auto"/>
          <w:sz w:val="20"/>
          <w:szCs w:val="20"/>
          <w:highlight w:val="none"/>
        </w:rPr>
        <w:t>中标供应商配备的服务人员均应为身体健康，经过卫生培训教育具有健康证，符合国家有关卫生法规的要求，并持有相关职业资格证书及工作经验。</w:t>
      </w:r>
    </w:p>
    <w:p w14:paraId="7FE6C29B">
      <w:pPr>
        <w:pStyle w:val="15"/>
        <w:keepNext w:val="0"/>
        <w:keepLines w:val="0"/>
        <w:pageBreakBefore w:val="0"/>
        <w:kinsoku/>
        <w:wordWrap/>
        <w:overflowPunct/>
        <w:topLinePunct w:val="0"/>
        <w:autoSpaceDE/>
        <w:autoSpaceDN/>
        <w:bidi w:val="0"/>
        <w:adjustRightInd/>
        <w:snapToGrid w:val="0"/>
        <w:spacing w:line="360" w:lineRule="auto"/>
        <w:ind w:firstLine="44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3.2.1.3 </w:t>
      </w:r>
      <w:r>
        <w:rPr>
          <w:rFonts w:hint="eastAsia" w:ascii="宋体" w:hAnsi="宋体" w:eastAsia="宋体" w:cs="宋体"/>
          <w:color w:val="auto"/>
          <w:sz w:val="20"/>
          <w:szCs w:val="20"/>
          <w:highlight w:val="none"/>
        </w:rPr>
        <w:t>服务人员每年须进行健康检查，取得健康证明后方可投入项目服务。</w:t>
      </w:r>
    </w:p>
    <w:p w14:paraId="7EFE8EBE">
      <w:pPr>
        <w:pStyle w:val="15"/>
        <w:keepNext w:val="0"/>
        <w:keepLines w:val="0"/>
        <w:pageBreakBefore w:val="0"/>
        <w:kinsoku/>
        <w:wordWrap/>
        <w:overflowPunct/>
        <w:topLinePunct w:val="0"/>
        <w:autoSpaceDE/>
        <w:autoSpaceDN/>
        <w:bidi w:val="0"/>
        <w:adjustRightInd/>
        <w:snapToGrid w:val="0"/>
        <w:spacing w:line="360" w:lineRule="auto"/>
        <w:ind w:firstLine="44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3.2.1.4 </w:t>
      </w:r>
      <w:r>
        <w:rPr>
          <w:rFonts w:hint="eastAsia" w:ascii="宋体" w:hAnsi="宋体" w:eastAsia="宋体" w:cs="宋体"/>
          <w:color w:val="auto"/>
          <w:sz w:val="20"/>
          <w:szCs w:val="20"/>
          <w:highlight w:val="none"/>
        </w:rPr>
        <w:t>中标供应商须至少配备一名具有营养师资格证书并具有实践经验的专业人员到本项目中，且本项目所有菜单确认后须经由营养师签字确认后方可实施。</w:t>
      </w:r>
    </w:p>
    <w:p w14:paraId="47401E29">
      <w:pPr>
        <w:pStyle w:val="15"/>
        <w:keepNext w:val="0"/>
        <w:keepLines w:val="0"/>
        <w:pageBreakBefore w:val="0"/>
        <w:kinsoku/>
        <w:wordWrap/>
        <w:overflowPunct/>
        <w:topLinePunct w:val="0"/>
        <w:autoSpaceDE/>
        <w:autoSpaceDN/>
        <w:bidi w:val="0"/>
        <w:adjustRightInd/>
        <w:snapToGrid w:val="0"/>
        <w:spacing w:line="360" w:lineRule="auto"/>
        <w:ind w:firstLine="44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3.2.1.5 </w:t>
      </w:r>
      <w:r>
        <w:rPr>
          <w:rFonts w:hint="eastAsia" w:ascii="宋体" w:hAnsi="宋体" w:eastAsia="宋体" w:cs="宋体"/>
          <w:color w:val="auto"/>
          <w:sz w:val="20"/>
          <w:szCs w:val="20"/>
          <w:highlight w:val="none"/>
        </w:rPr>
        <w:t>中标供应商的服务人员需配备统一的工作服装（包括：衣、帽、鞋、口罩等），并穿着上岗，工作服装应有清洗保洁制度，工作期间应保持良好的形象，做到衣着整洁、仪容端正、礼仪规范。</w:t>
      </w:r>
    </w:p>
    <w:p w14:paraId="136791CC">
      <w:pPr>
        <w:pStyle w:val="15"/>
        <w:keepNext w:val="0"/>
        <w:keepLines w:val="0"/>
        <w:pageBreakBefore w:val="0"/>
        <w:kinsoku/>
        <w:wordWrap/>
        <w:overflowPunct/>
        <w:topLinePunct w:val="0"/>
        <w:autoSpaceDE/>
        <w:autoSpaceDN/>
        <w:bidi w:val="0"/>
        <w:adjustRightInd/>
        <w:snapToGrid w:val="0"/>
        <w:spacing w:line="360" w:lineRule="auto"/>
        <w:ind w:firstLine="44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3.2.1.6 </w:t>
      </w:r>
      <w:r>
        <w:rPr>
          <w:rFonts w:hint="eastAsia" w:ascii="宋体" w:hAnsi="宋体" w:eastAsia="宋体" w:cs="宋体"/>
          <w:color w:val="auto"/>
          <w:sz w:val="20"/>
          <w:szCs w:val="20"/>
          <w:highlight w:val="none"/>
        </w:rPr>
        <w:t>如因举办活动或节假日加菜导致工作量增大需要临时增加服务人员的，中标供应商应及时补充并承担相关的费用及风险，同时，相关人员的身体健康状况应符合本项目的要求。</w:t>
      </w:r>
    </w:p>
    <w:p w14:paraId="1328A77D">
      <w:pPr>
        <w:pStyle w:val="15"/>
        <w:keepNext w:val="0"/>
        <w:keepLines w:val="0"/>
        <w:pageBreakBefore w:val="0"/>
        <w:kinsoku/>
        <w:wordWrap/>
        <w:overflowPunct/>
        <w:topLinePunct w:val="0"/>
        <w:autoSpaceDE/>
        <w:autoSpaceDN/>
        <w:bidi w:val="0"/>
        <w:adjustRightInd/>
        <w:snapToGrid w:val="0"/>
        <w:spacing w:line="360" w:lineRule="auto"/>
        <w:ind w:firstLine="44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3.2.1.7 </w:t>
      </w:r>
      <w:r>
        <w:rPr>
          <w:rFonts w:hint="eastAsia" w:ascii="宋体" w:hAnsi="宋体" w:eastAsia="宋体" w:cs="宋体"/>
          <w:color w:val="auto"/>
          <w:sz w:val="20"/>
          <w:szCs w:val="20"/>
          <w:highlight w:val="none"/>
        </w:rPr>
        <w:t>在服务期间内，中标供应商须承担项目工作人员的意外责任和工伤责任险和所有服务风险。</w:t>
      </w:r>
    </w:p>
    <w:p w14:paraId="0B316A32">
      <w:pPr>
        <w:pStyle w:val="15"/>
        <w:keepNext w:val="0"/>
        <w:keepLines w:val="0"/>
        <w:pageBreakBefore w:val="0"/>
        <w:kinsoku/>
        <w:wordWrap/>
        <w:overflowPunct/>
        <w:topLinePunct w:val="0"/>
        <w:autoSpaceDE/>
        <w:autoSpaceDN/>
        <w:bidi w:val="0"/>
        <w:adjustRightInd/>
        <w:snapToGrid w:val="0"/>
        <w:spacing w:line="360" w:lineRule="auto"/>
        <w:ind w:firstLine="44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3.2.1.8 </w:t>
      </w:r>
      <w:r>
        <w:rPr>
          <w:rFonts w:hint="eastAsia" w:ascii="宋体" w:hAnsi="宋体" w:eastAsia="宋体" w:cs="宋体"/>
          <w:color w:val="auto"/>
          <w:sz w:val="20"/>
          <w:szCs w:val="20"/>
          <w:highlight w:val="none"/>
        </w:rPr>
        <w:t>中标供应商人员需无条件接受并配合采购人及市场监督管理等部门对服务工作的监督和检查。</w:t>
      </w:r>
    </w:p>
    <w:p w14:paraId="3B428C60">
      <w:pPr>
        <w:pStyle w:val="15"/>
        <w:keepNext w:val="0"/>
        <w:keepLines w:val="0"/>
        <w:pageBreakBefore w:val="0"/>
        <w:kinsoku/>
        <w:wordWrap/>
        <w:overflowPunct/>
        <w:topLinePunct w:val="0"/>
        <w:autoSpaceDE/>
        <w:autoSpaceDN/>
        <w:bidi w:val="0"/>
        <w:adjustRightInd/>
        <w:snapToGrid w:val="0"/>
        <w:spacing w:line="360" w:lineRule="auto"/>
        <w:ind w:firstLine="440"/>
        <w:jc w:val="both"/>
        <w:textAlignment w:val="auto"/>
        <w:rPr>
          <w:rFonts w:hint="eastAsia" w:ascii="宋体" w:hAnsi="宋体" w:eastAsia="宋体" w:cs="宋体"/>
          <w:b/>
          <w:bCs/>
          <w:color w:val="auto"/>
          <w:sz w:val="20"/>
          <w:szCs w:val="20"/>
          <w:highlight w:val="none"/>
        </w:rPr>
      </w:pPr>
      <w:r>
        <w:rPr>
          <w:rFonts w:hint="eastAsia" w:ascii="宋体" w:hAnsi="宋体" w:eastAsia="宋体" w:cs="宋体"/>
          <w:b/>
          <w:bCs/>
          <w:color w:val="auto"/>
          <w:sz w:val="20"/>
          <w:szCs w:val="20"/>
          <w:highlight w:val="none"/>
          <w:lang w:val="en-US" w:eastAsia="zh-CN"/>
        </w:rPr>
        <w:t xml:space="preserve">3.3 </w:t>
      </w:r>
      <w:r>
        <w:rPr>
          <w:rFonts w:hint="eastAsia" w:ascii="宋体" w:hAnsi="宋体" w:eastAsia="宋体" w:cs="宋体"/>
          <w:b/>
          <w:bCs/>
          <w:color w:val="auto"/>
          <w:sz w:val="20"/>
          <w:szCs w:val="20"/>
          <w:highlight w:val="none"/>
        </w:rPr>
        <w:t>配餐要求：</w:t>
      </w:r>
    </w:p>
    <w:p w14:paraId="78648284">
      <w:pPr>
        <w:pStyle w:val="15"/>
        <w:keepNext w:val="0"/>
        <w:keepLines w:val="0"/>
        <w:pageBreakBefore w:val="0"/>
        <w:kinsoku/>
        <w:wordWrap/>
        <w:overflowPunct/>
        <w:topLinePunct w:val="0"/>
        <w:autoSpaceDE/>
        <w:autoSpaceDN/>
        <w:bidi w:val="0"/>
        <w:adjustRightInd/>
        <w:snapToGrid w:val="0"/>
        <w:spacing w:line="360" w:lineRule="auto"/>
        <w:ind w:firstLine="44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3.</w:t>
      </w:r>
      <w:r>
        <w:rPr>
          <w:rFonts w:hint="eastAsia" w:ascii="宋体" w:hAnsi="宋体" w:eastAsia="宋体" w:cs="宋体"/>
          <w:color w:val="auto"/>
          <w:sz w:val="20"/>
          <w:szCs w:val="20"/>
          <w:highlight w:val="none"/>
        </w:rPr>
        <w:t>3.1</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中标供应商应根据本项目的要求为本项目居家养老服务对象配餐。所配饭餐原则上要求必须为饭堂内现煮现备的，如有特殊情况，须经采购人的同意。严禁出现冷链配送至大朗镇加热派送的情况。</w:t>
      </w:r>
    </w:p>
    <w:p w14:paraId="3F427D17">
      <w:pPr>
        <w:pStyle w:val="15"/>
        <w:keepNext w:val="0"/>
        <w:keepLines w:val="0"/>
        <w:pageBreakBefore w:val="0"/>
        <w:kinsoku/>
        <w:wordWrap/>
        <w:overflowPunct/>
        <w:topLinePunct w:val="0"/>
        <w:autoSpaceDE/>
        <w:autoSpaceDN/>
        <w:bidi w:val="0"/>
        <w:adjustRightInd/>
        <w:snapToGrid w:val="0"/>
        <w:spacing w:line="360" w:lineRule="auto"/>
        <w:ind w:firstLine="44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3.</w:t>
      </w:r>
      <w:r>
        <w:rPr>
          <w:rFonts w:hint="eastAsia" w:ascii="宋体" w:hAnsi="宋体" w:eastAsia="宋体" w:cs="宋体"/>
          <w:color w:val="auto"/>
          <w:sz w:val="20"/>
          <w:szCs w:val="20"/>
          <w:highlight w:val="none"/>
        </w:rPr>
        <w:t>3.2</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中标供应商应根据采购人的要求，上午10:30-11:00把加工好的饭菜分别装入专用的保温容器并在上午11:00前运送至采购人指定固定助餐点，再由村（社区）负责将配餐由村（社区）固定助餐点到服务对象之间的配送服务，并负责回收餐具。</w:t>
      </w:r>
    </w:p>
    <w:p w14:paraId="2BC65EEF">
      <w:pPr>
        <w:pStyle w:val="15"/>
        <w:keepNext w:val="0"/>
        <w:keepLines w:val="0"/>
        <w:pageBreakBefore w:val="0"/>
        <w:kinsoku/>
        <w:wordWrap/>
        <w:overflowPunct/>
        <w:topLinePunct w:val="0"/>
        <w:autoSpaceDE/>
        <w:autoSpaceDN/>
        <w:bidi w:val="0"/>
        <w:adjustRightInd/>
        <w:snapToGrid w:val="0"/>
        <w:spacing w:line="360" w:lineRule="auto"/>
        <w:ind w:firstLine="44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3.</w:t>
      </w:r>
      <w:r>
        <w:rPr>
          <w:rFonts w:hint="eastAsia" w:ascii="宋体" w:hAnsi="宋体" w:eastAsia="宋体" w:cs="宋体"/>
          <w:color w:val="auto"/>
          <w:sz w:val="20"/>
          <w:szCs w:val="20"/>
          <w:highlight w:val="none"/>
        </w:rPr>
        <w:t>3.3</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中标供应商配餐时须自行采购符合食品安全并取得合格证书具有保温功能的餐具进行配餐，餐具所有权归中标供应商所有，配餐企业自行配备国标的保洁饭盒，每餐制餐标准一个星期内不重复，包括，两肉一菜一汤，一个星期两次水果等。</w:t>
      </w:r>
    </w:p>
    <w:p w14:paraId="64AD6239">
      <w:pPr>
        <w:pStyle w:val="15"/>
        <w:keepNext w:val="0"/>
        <w:keepLines w:val="0"/>
        <w:pageBreakBefore w:val="0"/>
        <w:kinsoku/>
        <w:wordWrap/>
        <w:overflowPunct/>
        <w:topLinePunct w:val="0"/>
        <w:autoSpaceDE/>
        <w:autoSpaceDN/>
        <w:bidi w:val="0"/>
        <w:adjustRightInd/>
        <w:snapToGrid w:val="0"/>
        <w:spacing w:line="360" w:lineRule="auto"/>
        <w:ind w:firstLine="44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3.</w:t>
      </w:r>
      <w:r>
        <w:rPr>
          <w:rFonts w:hint="eastAsia" w:ascii="宋体" w:hAnsi="宋体" w:eastAsia="宋体" w:cs="宋体"/>
          <w:color w:val="auto"/>
          <w:sz w:val="20"/>
          <w:szCs w:val="20"/>
          <w:highlight w:val="none"/>
        </w:rPr>
        <w:t>3.4</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配餐由中标供应商送达至采购人指定的各服务对象。</w:t>
      </w:r>
    </w:p>
    <w:p w14:paraId="664C11F3">
      <w:pPr>
        <w:pStyle w:val="15"/>
        <w:keepNext w:val="0"/>
        <w:keepLines w:val="0"/>
        <w:pageBreakBefore w:val="0"/>
        <w:kinsoku/>
        <w:wordWrap/>
        <w:overflowPunct/>
        <w:topLinePunct w:val="0"/>
        <w:autoSpaceDE/>
        <w:autoSpaceDN/>
        <w:bidi w:val="0"/>
        <w:adjustRightInd/>
        <w:snapToGrid w:val="0"/>
        <w:spacing w:line="360" w:lineRule="auto"/>
        <w:ind w:firstLine="44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3.</w:t>
      </w:r>
      <w:r>
        <w:rPr>
          <w:rFonts w:hint="eastAsia" w:ascii="宋体" w:hAnsi="宋体" w:eastAsia="宋体" w:cs="宋体"/>
          <w:color w:val="auto"/>
          <w:sz w:val="20"/>
          <w:szCs w:val="20"/>
          <w:highlight w:val="none"/>
        </w:rPr>
        <w:t>3.5</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中标供应商根据季节选择适当的保温箱进行运送，确保居家养老服务对象每天可以吃到卫生安全健康的热饭热菜，中标供应商制作配餐的标准应符合居家养老服务对象的具体情况，应尽量避免过硬、过辣的配餐；</w:t>
      </w:r>
    </w:p>
    <w:p w14:paraId="4C4727A2">
      <w:pPr>
        <w:pStyle w:val="15"/>
        <w:keepNext w:val="0"/>
        <w:keepLines w:val="0"/>
        <w:pageBreakBefore w:val="0"/>
        <w:kinsoku/>
        <w:wordWrap/>
        <w:overflowPunct/>
        <w:topLinePunct w:val="0"/>
        <w:autoSpaceDE/>
        <w:autoSpaceDN/>
        <w:bidi w:val="0"/>
        <w:adjustRightInd/>
        <w:snapToGrid w:val="0"/>
        <w:spacing w:line="360" w:lineRule="auto"/>
        <w:ind w:firstLine="44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3.</w:t>
      </w:r>
      <w:r>
        <w:rPr>
          <w:rFonts w:hint="eastAsia" w:ascii="宋体" w:hAnsi="宋体" w:eastAsia="宋体" w:cs="宋体"/>
          <w:color w:val="auto"/>
          <w:sz w:val="20"/>
          <w:szCs w:val="20"/>
          <w:highlight w:val="none"/>
        </w:rPr>
        <w:t>3.6</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中标供应商须有规律的对餐具进行回收、清洗、消毒，确保餐具使用的合理性和循环性；</w:t>
      </w:r>
    </w:p>
    <w:p w14:paraId="7F57B77B">
      <w:pPr>
        <w:pStyle w:val="15"/>
        <w:keepNext w:val="0"/>
        <w:keepLines w:val="0"/>
        <w:pageBreakBefore w:val="0"/>
        <w:kinsoku/>
        <w:wordWrap/>
        <w:overflowPunct/>
        <w:topLinePunct w:val="0"/>
        <w:autoSpaceDE/>
        <w:autoSpaceDN/>
        <w:bidi w:val="0"/>
        <w:adjustRightInd/>
        <w:snapToGrid w:val="0"/>
        <w:spacing w:line="360" w:lineRule="auto"/>
        <w:ind w:firstLine="44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3.</w:t>
      </w:r>
      <w:r>
        <w:rPr>
          <w:rFonts w:hint="eastAsia" w:ascii="宋体" w:hAnsi="宋体" w:eastAsia="宋体" w:cs="宋体"/>
          <w:color w:val="auto"/>
          <w:sz w:val="20"/>
          <w:szCs w:val="20"/>
          <w:highlight w:val="none"/>
        </w:rPr>
        <w:t>3.7</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中标供应商须遵守国家规定的卫生管理条例，严格执行《中华人民共和国食品安全法》，须保证提供的供餐产品的原材料须符合下列质量标准：</w:t>
      </w:r>
    </w:p>
    <w:p w14:paraId="56326556">
      <w:pPr>
        <w:pStyle w:val="15"/>
        <w:keepNext w:val="0"/>
        <w:keepLines w:val="0"/>
        <w:pageBreakBefore w:val="0"/>
        <w:kinsoku/>
        <w:wordWrap/>
        <w:overflowPunct/>
        <w:topLinePunct w:val="0"/>
        <w:autoSpaceDE/>
        <w:autoSpaceDN/>
        <w:bidi w:val="0"/>
        <w:adjustRightInd/>
        <w:snapToGrid w:val="0"/>
        <w:spacing w:line="360" w:lineRule="auto"/>
        <w:ind w:firstLine="44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3.</w:t>
      </w:r>
      <w:r>
        <w:rPr>
          <w:rFonts w:hint="eastAsia" w:ascii="宋体" w:hAnsi="宋体" w:eastAsia="宋体" w:cs="宋体"/>
          <w:color w:val="auto"/>
          <w:sz w:val="20"/>
          <w:szCs w:val="20"/>
          <w:highlight w:val="none"/>
        </w:rPr>
        <w:t>3.7.1</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蔬菜类：无黄叶，无腐烂，无泥沙，新鲜，无浸泡。有中标供应商的购买日期记录。</w:t>
      </w:r>
    </w:p>
    <w:p w14:paraId="01BD65C6">
      <w:pPr>
        <w:pStyle w:val="15"/>
        <w:keepNext w:val="0"/>
        <w:keepLines w:val="0"/>
        <w:pageBreakBefore w:val="0"/>
        <w:kinsoku/>
        <w:wordWrap/>
        <w:overflowPunct/>
        <w:topLinePunct w:val="0"/>
        <w:autoSpaceDE/>
        <w:autoSpaceDN/>
        <w:bidi w:val="0"/>
        <w:adjustRightInd/>
        <w:snapToGrid w:val="0"/>
        <w:spacing w:line="360" w:lineRule="auto"/>
        <w:ind w:firstLine="44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3.</w:t>
      </w:r>
      <w:r>
        <w:rPr>
          <w:rFonts w:hint="eastAsia" w:ascii="宋体" w:hAnsi="宋体" w:eastAsia="宋体" w:cs="宋体"/>
          <w:color w:val="auto"/>
          <w:sz w:val="20"/>
          <w:szCs w:val="20"/>
          <w:highlight w:val="none"/>
        </w:rPr>
        <w:t>3.7.2</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水果类：新鲜无腐烂，无碰伤。有中标供应商的购买日期记录。</w:t>
      </w:r>
    </w:p>
    <w:p w14:paraId="26594776">
      <w:pPr>
        <w:pStyle w:val="15"/>
        <w:keepNext w:val="0"/>
        <w:keepLines w:val="0"/>
        <w:pageBreakBefore w:val="0"/>
        <w:kinsoku/>
        <w:wordWrap/>
        <w:overflowPunct/>
        <w:topLinePunct w:val="0"/>
        <w:autoSpaceDE/>
        <w:autoSpaceDN/>
        <w:bidi w:val="0"/>
        <w:adjustRightInd/>
        <w:snapToGrid w:val="0"/>
        <w:spacing w:line="360" w:lineRule="auto"/>
        <w:ind w:firstLine="44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3.</w:t>
      </w:r>
      <w:r>
        <w:rPr>
          <w:rFonts w:hint="eastAsia" w:ascii="宋体" w:hAnsi="宋体" w:eastAsia="宋体" w:cs="宋体"/>
          <w:color w:val="auto"/>
          <w:sz w:val="20"/>
          <w:szCs w:val="20"/>
          <w:highlight w:val="none"/>
        </w:rPr>
        <w:t>3.7.3</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肉类、海鲜类：无注水，有中标供应商的购买日期记录。</w:t>
      </w:r>
    </w:p>
    <w:p w14:paraId="366FE3B2">
      <w:pPr>
        <w:pStyle w:val="15"/>
        <w:keepNext w:val="0"/>
        <w:keepLines w:val="0"/>
        <w:pageBreakBefore w:val="0"/>
        <w:kinsoku/>
        <w:wordWrap/>
        <w:overflowPunct/>
        <w:topLinePunct w:val="0"/>
        <w:autoSpaceDE/>
        <w:autoSpaceDN/>
        <w:bidi w:val="0"/>
        <w:adjustRightInd/>
        <w:snapToGrid w:val="0"/>
        <w:spacing w:line="360" w:lineRule="auto"/>
        <w:ind w:firstLine="44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3.</w:t>
      </w:r>
      <w:r>
        <w:rPr>
          <w:rFonts w:hint="eastAsia" w:ascii="宋体" w:hAnsi="宋体" w:eastAsia="宋体" w:cs="宋体"/>
          <w:color w:val="auto"/>
          <w:sz w:val="20"/>
          <w:szCs w:val="20"/>
          <w:highlight w:val="none"/>
        </w:rPr>
        <w:t>3.7.4</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粮油、副食干货类：无霉变，水分标准及杂质要求按国家标准执行。有生产厂家、生产日期、成分说明、逾期指示及完整包装。</w:t>
      </w:r>
    </w:p>
    <w:p w14:paraId="10EF247A">
      <w:pPr>
        <w:pStyle w:val="15"/>
        <w:keepNext w:val="0"/>
        <w:keepLines w:val="0"/>
        <w:pageBreakBefore w:val="0"/>
        <w:kinsoku/>
        <w:wordWrap/>
        <w:overflowPunct/>
        <w:topLinePunct w:val="0"/>
        <w:autoSpaceDE/>
        <w:autoSpaceDN/>
        <w:bidi w:val="0"/>
        <w:adjustRightInd/>
        <w:snapToGrid w:val="0"/>
        <w:spacing w:line="360" w:lineRule="auto"/>
        <w:ind w:firstLine="44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3.</w:t>
      </w:r>
      <w:r>
        <w:rPr>
          <w:rFonts w:hint="eastAsia" w:ascii="宋体" w:hAnsi="宋体" w:eastAsia="宋体" w:cs="宋体"/>
          <w:color w:val="auto"/>
          <w:sz w:val="20"/>
          <w:szCs w:val="20"/>
          <w:highlight w:val="none"/>
        </w:rPr>
        <w:t>3.7.5</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佐料类：新鲜无霉变，有生产厂家、生产日期、成分说明、逾期指示及完整包装。</w:t>
      </w:r>
    </w:p>
    <w:p w14:paraId="44C71545">
      <w:pPr>
        <w:pStyle w:val="15"/>
        <w:keepNext w:val="0"/>
        <w:keepLines w:val="0"/>
        <w:pageBreakBefore w:val="0"/>
        <w:kinsoku/>
        <w:wordWrap/>
        <w:overflowPunct/>
        <w:topLinePunct w:val="0"/>
        <w:autoSpaceDE/>
        <w:autoSpaceDN/>
        <w:bidi w:val="0"/>
        <w:adjustRightInd/>
        <w:snapToGrid w:val="0"/>
        <w:spacing w:line="360" w:lineRule="auto"/>
        <w:ind w:firstLine="44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3.</w:t>
      </w:r>
      <w:r>
        <w:rPr>
          <w:rFonts w:hint="eastAsia" w:ascii="宋体" w:hAnsi="宋体" w:eastAsia="宋体" w:cs="宋体"/>
          <w:color w:val="auto"/>
          <w:sz w:val="20"/>
          <w:szCs w:val="20"/>
          <w:highlight w:val="none"/>
        </w:rPr>
        <w:t>3.7.6</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饮料类：有生产厂家、生产日期、成分说明、逾期指示及完整包装。</w:t>
      </w:r>
    </w:p>
    <w:p w14:paraId="1E446127">
      <w:pPr>
        <w:pStyle w:val="15"/>
        <w:keepNext w:val="0"/>
        <w:keepLines w:val="0"/>
        <w:pageBreakBefore w:val="0"/>
        <w:kinsoku/>
        <w:wordWrap/>
        <w:overflowPunct/>
        <w:topLinePunct w:val="0"/>
        <w:autoSpaceDE/>
        <w:autoSpaceDN/>
        <w:bidi w:val="0"/>
        <w:adjustRightInd/>
        <w:snapToGrid w:val="0"/>
        <w:spacing w:line="360" w:lineRule="auto"/>
        <w:ind w:firstLine="44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3.</w:t>
      </w:r>
      <w:r>
        <w:rPr>
          <w:rFonts w:hint="eastAsia" w:ascii="宋体" w:hAnsi="宋体" w:eastAsia="宋体" w:cs="宋体"/>
          <w:color w:val="auto"/>
          <w:sz w:val="20"/>
          <w:szCs w:val="20"/>
          <w:highlight w:val="none"/>
        </w:rPr>
        <w:t>3.8</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中标供应商不得采用转基因食品及含有转基因成分的主辅料，采购的大米、食用油、调味料以及禽畜肉类、果蔬、水产等食品原材料须有供货商资质证明、每批次的检验检疫证明。</w:t>
      </w:r>
    </w:p>
    <w:p w14:paraId="06754DBE">
      <w:pPr>
        <w:pStyle w:val="15"/>
        <w:keepNext w:val="0"/>
        <w:keepLines w:val="0"/>
        <w:pageBreakBefore w:val="0"/>
        <w:kinsoku/>
        <w:wordWrap/>
        <w:overflowPunct/>
        <w:topLinePunct w:val="0"/>
        <w:autoSpaceDE/>
        <w:autoSpaceDN/>
        <w:bidi w:val="0"/>
        <w:adjustRightInd/>
        <w:snapToGrid w:val="0"/>
        <w:spacing w:line="360" w:lineRule="auto"/>
        <w:ind w:firstLine="44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3.</w:t>
      </w:r>
      <w:r>
        <w:rPr>
          <w:rFonts w:hint="eastAsia" w:ascii="宋体" w:hAnsi="宋体" w:eastAsia="宋体" w:cs="宋体"/>
          <w:color w:val="auto"/>
          <w:sz w:val="20"/>
          <w:szCs w:val="20"/>
          <w:highlight w:val="none"/>
        </w:rPr>
        <w:t>3.9</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中标供应商不得采购不合格食品（三无产品或原料）不采购和使用散装食用油、散装调味料以及人工色素调味料；不外购散装熟食品；尽量采购新鲜肉制品，少食冷冻肉制品、油炸食品、腌制食品以及香肠、火腿、肉丸等加工肉制品等。</w:t>
      </w:r>
    </w:p>
    <w:p w14:paraId="170E9A0D">
      <w:pPr>
        <w:pStyle w:val="15"/>
        <w:keepNext w:val="0"/>
        <w:keepLines w:val="0"/>
        <w:pageBreakBefore w:val="0"/>
        <w:kinsoku/>
        <w:wordWrap/>
        <w:overflowPunct/>
        <w:topLinePunct w:val="0"/>
        <w:autoSpaceDE/>
        <w:autoSpaceDN/>
        <w:bidi w:val="0"/>
        <w:adjustRightInd/>
        <w:snapToGrid w:val="0"/>
        <w:spacing w:line="360" w:lineRule="auto"/>
        <w:ind w:firstLine="44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3.</w:t>
      </w:r>
      <w:r>
        <w:rPr>
          <w:rFonts w:hint="eastAsia" w:ascii="宋体" w:hAnsi="宋体" w:eastAsia="宋体" w:cs="宋体"/>
          <w:color w:val="auto"/>
          <w:sz w:val="20"/>
          <w:szCs w:val="20"/>
          <w:highlight w:val="none"/>
        </w:rPr>
        <w:t>3.10</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就餐标准：餐食须为即日烹调，1大荤，1小荤，1素菜，1汤，米饭不少于350克，两荤各不少于120克，青菜不少于110克，确保每天的配餐分量足，质量好，符合老年人的用餐要求。中标供应商需根据《中华人民膳食指南》和平衡膳食宝塔的要求，同时满足《中国居民膳食营养素参考摄入量（DRIs）》（2013）的需求，针对服务对象制定营养充足、搭配合理、菜品丰富的带量食谱。（须提供单独承诺函加盖投标人公章）。</w:t>
      </w:r>
    </w:p>
    <w:p w14:paraId="104DE299">
      <w:pPr>
        <w:pStyle w:val="15"/>
        <w:keepNext w:val="0"/>
        <w:keepLines w:val="0"/>
        <w:pageBreakBefore w:val="0"/>
        <w:kinsoku/>
        <w:wordWrap/>
        <w:overflowPunct/>
        <w:topLinePunct w:val="0"/>
        <w:autoSpaceDE/>
        <w:autoSpaceDN/>
        <w:bidi w:val="0"/>
        <w:adjustRightInd/>
        <w:snapToGrid w:val="0"/>
        <w:spacing w:line="360" w:lineRule="auto"/>
        <w:ind w:firstLine="44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3.</w:t>
      </w:r>
      <w:r>
        <w:rPr>
          <w:rFonts w:hint="eastAsia" w:ascii="宋体" w:hAnsi="宋体" w:eastAsia="宋体" w:cs="宋体"/>
          <w:color w:val="auto"/>
          <w:sz w:val="20"/>
          <w:szCs w:val="20"/>
          <w:highlight w:val="none"/>
        </w:rPr>
        <w:t>3.11</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中标供应商须每月25日前制定下月配餐餐单用以公示，所公示菜单须经营养师签名确认，如采购人或相关业务单位发现菜式不适合，可在收到餐单后一周内双方协调修改，中标供应商提供的配餐产品须严格按照既定（并经采购人同意）的配餐餐单内容保持一致，如遇到特殊情况需提前告知采购人。</w:t>
      </w:r>
    </w:p>
    <w:p w14:paraId="2D2D999E">
      <w:pPr>
        <w:pStyle w:val="15"/>
        <w:keepNext w:val="0"/>
        <w:keepLines w:val="0"/>
        <w:pageBreakBefore w:val="0"/>
        <w:kinsoku/>
        <w:wordWrap/>
        <w:overflowPunct/>
        <w:topLinePunct w:val="0"/>
        <w:autoSpaceDE/>
        <w:autoSpaceDN/>
        <w:bidi w:val="0"/>
        <w:adjustRightInd/>
        <w:snapToGrid w:val="0"/>
        <w:spacing w:line="360" w:lineRule="auto"/>
        <w:ind w:firstLine="44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3.</w:t>
      </w:r>
      <w:r>
        <w:rPr>
          <w:rFonts w:hint="eastAsia" w:ascii="宋体" w:hAnsi="宋体" w:eastAsia="宋体" w:cs="宋体"/>
          <w:color w:val="auto"/>
          <w:sz w:val="20"/>
          <w:szCs w:val="20"/>
          <w:highlight w:val="none"/>
        </w:rPr>
        <w:t>3.1</w:t>
      </w:r>
      <w:r>
        <w:rPr>
          <w:rFonts w:hint="eastAsia" w:ascii="宋体" w:hAnsi="宋体" w:eastAsia="宋体" w:cs="宋体"/>
          <w:color w:val="auto"/>
          <w:sz w:val="20"/>
          <w:szCs w:val="20"/>
          <w:highlight w:val="none"/>
          <w:lang w:val="en-US" w:eastAsia="zh-CN"/>
        </w:rPr>
        <w:t xml:space="preserve">2 </w:t>
      </w:r>
      <w:r>
        <w:rPr>
          <w:rFonts w:hint="eastAsia" w:ascii="宋体" w:hAnsi="宋体" w:eastAsia="宋体" w:cs="宋体"/>
          <w:color w:val="auto"/>
          <w:sz w:val="20"/>
          <w:szCs w:val="20"/>
          <w:highlight w:val="none"/>
        </w:rPr>
        <w:t>如采购人需要中标供应商配合完成其他餐饮加工工作的，中标供应商应无条件予以配合。</w:t>
      </w:r>
    </w:p>
    <w:p w14:paraId="74CFAACF">
      <w:pPr>
        <w:pStyle w:val="15"/>
        <w:keepNext w:val="0"/>
        <w:keepLines w:val="0"/>
        <w:pageBreakBefore w:val="0"/>
        <w:kinsoku/>
        <w:wordWrap/>
        <w:overflowPunct/>
        <w:topLinePunct w:val="0"/>
        <w:autoSpaceDE/>
        <w:autoSpaceDN/>
        <w:bidi w:val="0"/>
        <w:adjustRightInd/>
        <w:snapToGrid w:val="0"/>
        <w:spacing w:line="360" w:lineRule="auto"/>
        <w:ind w:firstLine="440"/>
        <w:jc w:val="both"/>
        <w:textAlignment w:val="auto"/>
        <w:rPr>
          <w:rFonts w:hint="eastAsia" w:ascii="宋体" w:hAnsi="宋体" w:eastAsia="宋体" w:cs="宋体"/>
          <w:b/>
          <w:bCs/>
          <w:color w:val="auto"/>
          <w:sz w:val="20"/>
          <w:szCs w:val="20"/>
          <w:highlight w:val="none"/>
        </w:rPr>
      </w:pPr>
      <w:r>
        <w:rPr>
          <w:rFonts w:hint="eastAsia" w:ascii="宋体" w:hAnsi="宋体" w:eastAsia="宋体" w:cs="宋体"/>
          <w:b/>
          <w:bCs/>
          <w:color w:val="auto"/>
          <w:sz w:val="20"/>
          <w:szCs w:val="20"/>
          <w:highlight w:val="none"/>
          <w:lang w:val="en-US" w:eastAsia="zh-CN"/>
        </w:rPr>
        <w:t xml:space="preserve">3.4 </w:t>
      </w:r>
      <w:r>
        <w:rPr>
          <w:rFonts w:hint="eastAsia" w:ascii="宋体" w:hAnsi="宋体" w:eastAsia="宋体" w:cs="宋体"/>
          <w:b/>
          <w:bCs/>
          <w:color w:val="auto"/>
          <w:sz w:val="20"/>
          <w:szCs w:val="20"/>
          <w:highlight w:val="none"/>
        </w:rPr>
        <w:t>服务管理要求</w:t>
      </w:r>
    </w:p>
    <w:p w14:paraId="41503312">
      <w:pPr>
        <w:pStyle w:val="15"/>
        <w:keepNext w:val="0"/>
        <w:keepLines w:val="0"/>
        <w:pageBreakBefore w:val="0"/>
        <w:kinsoku/>
        <w:wordWrap/>
        <w:overflowPunct/>
        <w:topLinePunct w:val="0"/>
        <w:autoSpaceDE/>
        <w:autoSpaceDN/>
        <w:bidi w:val="0"/>
        <w:adjustRightInd/>
        <w:snapToGrid w:val="0"/>
        <w:spacing w:line="360" w:lineRule="auto"/>
        <w:ind w:firstLine="44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3.</w:t>
      </w:r>
      <w:r>
        <w:rPr>
          <w:rFonts w:hint="eastAsia" w:ascii="宋体" w:hAnsi="宋体" w:eastAsia="宋体" w:cs="宋体"/>
          <w:color w:val="auto"/>
          <w:sz w:val="20"/>
          <w:szCs w:val="20"/>
          <w:highlight w:val="none"/>
        </w:rPr>
        <w:t>4.1</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在服务期限内，采购人向选取的中标供应商发出采购服务通知时，中标供应商在收到通知后，应立即进行确认；并在0.5小时内与采购人联系。</w:t>
      </w:r>
    </w:p>
    <w:p w14:paraId="4A488053">
      <w:pPr>
        <w:pStyle w:val="15"/>
        <w:keepNext w:val="0"/>
        <w:keepLines w:val="0"/>
        <w:pageBreakBefore w:val="0"/>
        <w:kinsoku/>
        <w:wordWrap/>
        <w:overflowPunct/>
        <w:topLinePunct w:val="0"/>
        <w:autoSpaceDE/>
        <w:autoSpaceDN/>
        <w:bidi w:val="0"/>
        <w:adjustRightInd/>
        <w:snapToGrid w:val="0"/>
        <w:spacing w:line="360" w:lineRule="auto"/>
        <w:ind w:firstLine="44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3.</w:t>
      </w:r>
      <w:r>
        <w:rPr>
          <w:rFonts w:hint="eastAsia" w:ascii="宋体" w:hAnsi="宋体" w:eastAsia="宋体" w:cs="宋体"/>
          <w:color w:val="auto"/>
          <w:sz w:val="20"/>
          <w:szCs w:val="20"/>
          <w:highlight w:val="none"/>
        </w:rPr>
        <w:t>4.2</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对有下列情况之一的中标供应商，经确认后采购人有权单方面暂停或解除合同取消其服务资格，并保留追究其法律责任的权利，采购人有权从候补名单中顺延补充为供货资格的单位或重新招标：</w:t>
      </w:r>
    </w:p>
    <w:p w14:paraId="53BD2ECD">
      <w:pPr>
        <w:pStyle w:val="15"/>
        <w:keepNext w:val="0"/>
        <w:keepLines w:val="0"/>
        <w:pageBreakBefore w:val="0"/>
        <w:kinsoku/>
        <w:wordWrap/>
        <w:overflowPunct/>
        <w:topLinePunct w:val="0"/>
        <w:autoSpaceDE/>
        <w:autoSpaceDN/>
        <w:bidi w:val="0"/>
        <w:adjustRightInd/>
        <w:snapToGrid w:val="0"/>
        <w:spacing w:line="360" w:lineRule="auto"/>
        <w:ind w:firstLine="44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3.</w:t>
      </w:r>
      <w:r>
        <w:rPr>
          <w:rFonts w:hint="eastAsia" w:ascii="宋体" w:hAnsi="宋体" w:eastAsia="宋体" w:cs="宋体"/>
          <w:color w:val="auto"/>
          <w:sz w:val="20"/>
          <w:szCs w:val="20"/>
          <w:highlight w:val="none"/>
        </w:rPr>
        <w:t>4.2.1</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一个月累计三次没有在采购人规定时间内提供供餐服务，或未经采购人同意擅自配送非现煮现配食品的。</w:t>
      </w:r>
    </w:p>
    <w:p w14:paraId="7F2BC9E9">
      <w:pPr>
        <w:pStyle w:val="15"/>
        <w:keepNext w:val="0"/>
        <w:keepLines w:val="0"/>
        <w:pageBreakBefore w:val="0"/>
        <w:kinsoku/>
        <w:wordWrap/>
        <w:overflowPunct/>
        <w:topLinePunct w:val="0"/>
        <w:autoSpaceDE/>
        <w:autoSpaceDN/>
        <w:bidi w:val="0"/>
        <w:adjustRightInd/>
        <w:snapToGrid w:val="0"/>
        <w:spacing w:line="360" w:lineRule="auto"/>
        <w:ind w:firstLine="44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3.</w:t>
      </w:r>
      <w:r>
        <w:rPr>
          <w:rFonts w:hint="eastAsia" w:ascii="宋体" w:hAnsi="宋体" w:eastAsia="宋体" w:cs="宋体"/>
          <w:color w:val="auto"/>
          <w:sz w:val="20"/>
          <w:szCs w:val="20"/>
          <w:highlight w:val="none"/>
        </w:rPr>
        <w:t>4.2.2</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无正当理由拒绝向采购人确定对象提供服务的；</w:t>
      </w:r>
    </w:p>
    <w:p w14:paraId="66104142">
      <w:pPr>
        <w:pStyle w:val="15"/>
        <w:keepNext w:val="0"/>
        <w:keepLines w:val="0"/>
        <w:pageBreakBefore w:val="0"/>
        <w:kinsoku/>
        <w:wordWrap/>
        <w:overflowPunct/>
        <w:topLinePunct w:val="0"/>
        <w:autoSpaceDE/>
        <w:autoSpaceDN/>
        <w:bidi w:val="0"/>
        <w:adjustRightInd/>
        <w:snapToGrid w:val="0"/>
        <w:spacing w:line="360" w:lineRule="auto"/>
        <w:ind w:firstLine="44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3.</w:t>
      </w:r>
      <w:r>
        <w:rPr>
          <w:rFonts w:hint="eastAsia" w:ascii="宋体" w:hAnsi="宋体" w:eastAsia="宋体" w:cs="宋体"/>
          <w:color w:val="auto"/>
          <w:sz w:val="20"/>
          <w:szCs w:val="20"/>
          <w:highlight w:val="none"/>
        </w:rPr>
        <w:t>4.2.3</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出现管理、配餐质量控制等各方面不能满足招标文件、采购人的相关要求导致发生食品安全事故的；</w:t>
      </w:r>
    </w:p>
    <w:p w14:paraId="2D78AD4E">
      <w:pPr>
        <w:pStyle w:val="15"/>
        <w:keepNext w:val="0"/>
        <w:keepLines w:val="0"/>
        <w:pageBreakBefore w:val="0"/>
        <w:kinsoku/>
        <w:wordWrap/>
        <w:overflowPunct/>
        <w:topLinePunct w:val="0"/>
        <w:autoSpaceDE/>
        <w:autoSpaceDN/>
        <w:bidi w:val="0"/>
        <w:adjustRightInd/>
        <w:snapToGrid w:val="0"/>
        <w:spacing w:line="360" w:lineRule="auto"/>
        <w:ind w:firstLine="44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3.</w:t>
      </w:r>
      <w:r>
        <w:rPr>
          <w:rFonts w:hint="eastAsia" w:ascii="宋体" w:hAnsi="宋体" w:eastAsia="宋体" w:cs="宋体"/>
          <w:color w:val="auto"/>
          <w:sz w:val="20"/>
          <w:szCs w:val="20"/>
          <w:highlight w:val="none"/>
        </w:rPr>
        <w:t>4.2.4</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索取、收受合同以外的酬金或其他财务，或者利用工作之便，牟取其他不正当的利益，损害国家利益、社会公共利益或他人合法利益的；</w:t>
      </w:r>
    </w:p>
    <w:p w14:paraId="368942B1">
      <w:pPr>
        <w:pStyle w:val="15"/>
        <w:keepNext w:val="0"/>
        <w:keepLines w:val="0"/>
        <w:pageBreakBefore w:val="0"/>
        <w:kinsoku/>
        <w:wordWrap/>
        <w:overflowPunct/>
        <w:topLinePunct w:val="0"/>
        <w:autoSpaceDE/>
        <w:autoSpaceDN/>
        <w:bidi w:val="0"/>
        <w:adjustRightInd/>
        <w:snapToGrid w:val="0"/>
        <w:spacing w:line="360" w:lineRule="auto"/>
        <w:ind w:firstLine="44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3.</w:t>
      </w:r>
      <w:r>
        <w:rPr>
          <w:rFonts w:hint="eastAsia" w:ascii="宋体" w:hAnsi="宋体" w:eastAsia="宋体" w:cs="宋体"/>
          <w:color w:val="auto"/>
          <w:sz w:val="20"/>
          <w:szCs w:val="20"/>
          <w:highlight w:val="none"/>
        </w:rPr>
        <w:t>4.2.5</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经营情况发生重大变更，已经不具备承接本项目能力的；</w:t>
      </w:r>
    </w:p>
    <w:p w14:paraId="117ADE21">
      <w:pPr>
        <w:pStyle w:val="15"/>
        <w:keepNext w:val="0"/>
        <w:keepLines w:val="0"/>
        <w:pageBreakBefore w:val="0"/>
        <w:kinsoku/>
        <w:wordWrap/>
        <w:overflowPunct/>
        <w:topLinePunct w:val="0"/>
        <w:autoSpaceDE/>
        <w:autoSpaceDN/>
        <w:bidi w:val="0"/>
        <w:adjustRightInd/>
        <w:snapToGrid w:val="0"/>
        <w:spacing w:line="360" w:lineRule="auto"/>
        <w:ind w:firstLine="44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3.</w:t>
      </w:r>
      <w:r>
        <w:rPr>
          <w:rFonts w:hint="eastAsia" w:ascii="宋体" w:hAnsi="宋体" w:eastAsia="宋体" w:cs="宋体"/>
          <w:color w:val="auto"/>
          <w:sz w:val="20"/>
          <w:szCs w:val="20"/>
          <w:highlight w:val="none"/>
        </w:rPr>
        <w:t>4.2.6</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没有实现投标文件中的相关承诺、违反合同规定、法律法规禁止的以及违反合同规定行为的。</w:t>
      </w:r>
    </w:p>
    <w:p w14:paraId="3BBB15B0">
      <w:pPr>
        <w:pStyle w:val="15"/>
        <w:keepNext w:val="0"/>
        <w:keepLines w:val="0"/>
        <w:pageBreakBefore w:val="0"/>
        <w:kinsoku/>
        <w:wordWrap/>
        <w:overflowPunct/>
        <w:topLinePunct w:val="0"/>
        <w:autoSpaceDE/>
        <w:autoSpaceDN/>
        <w:bidi w:val="0"/>
        <w:adjustRightInd/>
        <w:snapToGrid w:val="0"/>
        <w:spacing w:line="360" w:lineRule="auto"/>
        <w:ind w:firstLine="44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3.</w:t>
      </w:r>
      <w:r>
        <w:rPr>
          <w:rFonts w:hint="eastAsia" w:ascii="宋体" w:hAnsi="宋体" w:eastAsia="宋体" w:cs="宋体"/>
          <w:color w:val="auto"/>
          <w:sz w:val="20"/>
          <w:szCs w:val="20"/>
          <w:highlight w:val="none"/>
        </w:rPr>
        <w:t>4.2.7</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出现不符合食品安全监督规定及要求的行为或现象。</w:t>
      </w:r>
    </w:p>
    <w:p w14:paraId="79C3BEF5">
      <w:pPr>
        <w:pStyle w:val="15"/>
        <w:keepNext w:val="0"/>
        <w:keepLines w:val="0"/>
        <w:pageBreakBefore w:val="0"/>
        <w:kinsoku/>
        <w:wordWrap/>
        <w:overflowPunct/>
        <w:topLinePunct w:val="0"/>
        <w:autoSpaceDE/>
        <w:autoSpaceDN/>
        <w:bidi w:val="0"/>
        <w:adjustRightInd/>
        <w:snapToGrid w:val="0"/>
        <w:spacing w:line="360" w:lineRule="auto"/>
        <w:ind w:firstLine="44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3.</w:t>
      </w:r>
      <w:r>
        <w:rPr>
          <w:rFonts w:hint="eastAsia" w:ascii="宋体" w:hAnsi="宋体" w:eastAsia="宋体" w:cs="宋体"/>
          <w:color w:val="auto"/>
          <w:sz w:val="20"/>
          <w:szCs w:val="20"/>
          <w:highlight w:val="none"/>
        </w:rPr>
        <w:t>4.3</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在合同期限内，给与采购人享受最优惠待遇，即给予其他同类客户更优惠的待遇时，应通知采购人同时享受。</w:t>
      </w:r>
    </w:p>
    <w:p w14:paraId="5AC3C870">
      <w:pPr>
        <w:pStyle w:val="15"/>
        <w:keepNext w:val="0"/>
        <w:keepLines w:val="0"/>
        <w:pageBreakBefore w:val="0"/>
        <w:kinsoku/>
        <w:wordWrap/>
        <w:overflowPunct/>
        <w:topLinePunct w:val="0"/>
        <w:autoSpaceDE/>
        <w:autoSpaceDN/>
        <w:bidi w:val="0"/>
        <w:adjustRightInd/>
        <w:snapToGrid w:val="0"/>
        <w:spacing w:line="360" w:lineRule="auto"/>
        <w:ind w:firstLine="44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3.</w:t>
      </w:r>
      <w:r>
        <w:rPr>
          <w:rFonts w:hint="eastAsia" w:ascii="宋体" w:hAnsi="宋体" w:eastAsia="宋体" w:cs="宋体"/>
          <w:color w:val="auto"/>
          <w:sz w:val="20"/>
          <w:szCs w:val="20"/>
          <w:highlight w:val="none"/>
        </w:rPr>
        <w:t>4.4</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中标供应商不得将中标项目转让给他人，一经发现，采购人有权终止合同，由此产生的一切经济损失由中标供应商自行承担。</w:t>
      </w:r>
    </w:p>
    <w:p w14:paraId="66D5325D">
      <w:pPr>
        <w:pStyle w:val="15"/>
        <w:keepNext w:val="0"/>
        <w:keepLines w:val="0"/>
        <w:pageBreakBefore w:val="0"/>
        <w:kinsoku/>
        <w:wordWrap/>
        <w:overflowPunct/>
        <w:topLinePunct w:val="0"/>
        <w:autoSpaceDE/>
        <w:autoSpaceDN/>
        <w:bidi w:val="0"/>
        <w:adjustRightInd/>
        <w:snapToGrid w:val="0"/>
        <w:spacing w:line="360" w:lineRule="auto"/>
        <w:ind w:firstLine="440"/>
        <w:jc w:val="both"/>
        <w:textAlignment w:val="auto"/>
        <w:rPr>
          <w:rFonts w:hint="eastAsia" w:ascii="宋体" w:hAnsi="宋体" w:eastAsia="宋体" w:cs="宋体"/>
          <w:b/>
          <w:bCs/>
          <w:color w:val="auto"/>
          <w:sz w:val="20"/>
          <w:szCs w:val="20"/>
          <w:highlight w:val="none"/>
        </w:rPr>
      </w:pPr>
      <w:r>
        <w:rPr>
          <w:rFonts w:hint="eastAsia" w:ascii="宋体" w:hAnsi="宋体" w:eastAsia="宋体" w:cs="宋体"/>
          <w:b/>
          <w:bCs/>
          <w:color w:val="auto"/>
          <w:sz w:val="20"/>
          <w:szCs w:val="20"/>
          <w:highlight w:val="none"/>
          <w:lang w:val="en-US" w:eastAsia="zh-CN"/>
        </w:rPr>
        <w:t xml:space="preserve">3.5 </w:t>
      </w:r>
      <w:r>
        <w:rPr>
          <w:rFonts w:hint="eastAsia" w:ascii="宋体" w:hAnsi="宋体" w:eastAsia="宋体" w:cs="宋体"/>
          <w:b/>
          <w:bCs/>
          <w:color w:val="auto"/>
          <w:sz w:val="20"/>
          <w:szCs w:val="20"/>
          <w:highlight w:val="none"/>
        </w:rPr>
        <w:t>其它要求</w:t>
      </w:r>
    </w:p>
    <w:p w14:paraId="68A411FC">
      <w:pPr>
        <w:pStyle w:val="15"/>
        <w:keepNext w:val="0"/>
        <w:keepLines w:val="0"/>
        <w:pageBreakBefore w:val="0"/>
        <w:kinsoku/>
        <w:wordWrap/>
        <w:overflowPunct/>
        <w:topLinePunct w:val="0"/>
        <w:autoSpaceDE/>
        <w:autoSpaceDN/>
        <w:bidi w:val="0"/>
        <w:adjustRightInd/>
        <w:snapToGrid w:val="0"/>
        <w:spacing w:line="360" w:lineRule="auto"/>
        <w:ind w:firstLine="44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3.</w:t>
      </w:r>
      <w:r>
        <w:rPr>
          <w:rFonts w:hint="eastAsia" w:ascii="宋体" w:hAnsi="宋体" w:eastAsia="宋体" w:cs="宋体"/>
          <w:color w:val="auto"/>
          <w:sz w:val="20"/>
          <w:szCs w:val="20"/>
          <w:highlight w:val="none"/>
        </w:rPr>
        <w:t>5.1</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中标供应商须制定并执行严格的餐饮卫生管理制度和食品安全突发事故应急预案，严格执行国家《中华人民共和国食品安全法》及《餐饮服务食品安全操作规范》，规范经营并接受相关部门单位的监督。中标供应商须向采购人提供盖有公章的《食品经营许可证》复印件，餐钦服务食品安全等级B级或以上。</w:t>
      </w:r>
    </w:p>
    <w:p w14:paraId="284F68DD">
      <w:pPr>
        <w:pStyle w:val="15"/>
        <w:keepNext w:val="0"/>
        <w:keepLines w:val="0"/>
        <w:pageBreakBefore w:val="0"/>
        <w:kinsoku/>
        <w:wordWrap/>
        <w:overflowPunct/>
        <w:topLinePunct w:val="0"/>
        <w:autoSpaceDE/>
        <w:autoSpaceDN/>
        <w:bidi w:val="0"/>
        <w:adjustRightInd/>
        <w:snapToGrid w:val="0"/>
        <w:spacing w:line="360" w:lineRule="auto"/>
        <w:ind w:firstLine="44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3.</w:t>
      </w:r>
      <w:r>
        <w:rPr>
          <w:rFonts w:hint="eastAsia" w:ascii="宋体" w:hAnsi="宋体" w:eastAsia="宋体" w:cs="宋体"/>
          <w:color w:val="auto"/>
          <w:sz w:val="20"/>
          <w:szCs w:val="20"/>
          <w:highlight w:val="none"/>
        </w:rPr>
        <w:t>5.2</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整个配送过程科学合理，运输须符合卫生要求的专用车辆运输，保持清洁和每天消毒，车辆内无不良气味、异味。在送餐过程中，送餐车须严禁装载与配送食品无关的其他食品或物品。</w:t>
      </w:r>
    </w:p>
    <w:p w14:paraId="1D92AE9D">
      <w:pPr>
        <w:pStyle w:val="15"/>
        <w:keepNext w:val="0"/>
        <w:keepLines w:val="0"/>
        <w:pageBreakBefore w:val="0"/>
        <w:kinsoku/>
        <w:wordWrap/>
        <w:overflowPunct/>
        <w:topLinePunct w:val="0"/>
        <w:autoSpaceDE/>
        <w:autoSpaceDN/>
        <w:bidi w:val="0"/>
        <w:adjustRightInd/>
        <w:snapToGrid w:val="0"/>
        <w:spacing w:line="360" w:lineRule="auto"/>
        <w:ind w:firstLine="44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3.</w:t>
      </w:r>
      <w:r>
        <w:rPr>
          <w:rFonts w:hint="eastAsia" w:ascii="宋体" w:hAnsi="宋体" w:eastAsia="宋体" w:cs="宋体"/>
          <w:color w:val="auto"/>
          <w:sz w:val="20"/>
          <w:szCs w:val="20"/>
          <w:highlight w:val="none"/>
        </w:rPr>
        <w:t>5.3</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中标供应商需提供“配餐送餐”服务，中标供应商应按照就餐人数，建立健全点餐、收费系统，按时将饭餐配送给采购人指定地点。</w:t>
      </w:r>
    </w:p>
    <w:p w14:paraId="7FBCB92E">
      <w:pPr>
        <w:pStyle w:val="15"/>
        <w:keepNext w:val="0"/>
        <w:keepLines w:val="0"/>
        <w:pageBreakBefore w:val="0"/>
        <w:kinsoku/>
        <w:wordWrap/>
        <w:overflowPunct/>
        <w:topLinePunct w:val="0"/>
        <w:autoSpaceDE/>
        <w:autoSpaceDN/>
        <w:bidi w:val="0"/>
        <w:adjustRightInd/>
        <w:snapToGrid w:val="0"/>
        <w:spacing w:line="360" w:lineRule="auto"/>
        <w:ind w:firstLine="44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3.</w:t>
      </w:r>
      <w:r>
        <w:rPr>
          <w:rFonts w:hint="eastAsia" w:ascii="宋体" w:hAnsi="宋体" w:eastAsia="宋体" w:cs="宋体"/>
          <w:color w:val="auto"/>
          <w:sz w:val="20"/>
          <w:szCs w:val="20"/>
          <w:highlight w:val="none"/>
        </w:rPr>
        <w:t>5.4</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采购人依据《中华人民共和国食品卫生法》和相关的法规以及各项规章制度的要求，派出监督人员对中标供应商的操作程序、食品制作程序等进行不定期检查，以确保中标供应商的配餐服务符合食品安全法规和本项目的有关要求。若发现不符合要求的情况，中标供应商须立即整改，保证配餐食品安全。若中标供应商未整改或者整改后仍不符合食品安全法规和本项目的有关要求的，采购人有权单方面解除合同，并对其处以招标金额的5%处罚，同时给采购人造成的直接损失，追究其经济赔偿。</w:t>
      </w:r>
    </w:p>
    <w:p w14:paraId="70522625">
      <w:pPr>
        <w:pStyle w:val="15"/>
        <w:keepNext w:val="0"/>
        <w:keepLines w:val="0"/>
        <w:pageBreakBefore w:val="0"/>
        <w:kinsoku/>
        <w:wordWrap/>
        <w:overflowPunct/>
        <w:topLinePunct w:val="0"/>
        <w:autoSpaceDE/>
        <w:autoSpaceDN/>
        <w:bidi w:val="0"/>
        <w:adjustRightInd/>
        <w:snapToGrid w:val="0"/>
        <w:spacing w:line="360" w:lineRule="auto"/>
        <w:ind w:firstLine="44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3.</w:t>
      </w:r>
      <w:r>
        <w:rPr>
          <w:rFonts w:hint="eastAsia" w:ascii="宋体" w:hAnsi="宋体" w:eastAsia="宋体" w:cs="宋体"/>
          <w:color w:val="auto"/>
          <w:sz w:val="20"/>
          <w:szCs w:val="20"/>
          <w:highlight w:val="none"/>
        </w:rPr>
        <w:t>5.5</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如因中标供应商的过错，发生鱼、肉、蔬菜变质、人员中毒等食品安全事故的，其产生的一切损失，由中标供应商承担全部责任和赔偿。同时采购人有权单方面解除合同，并对其处以招标金额的5%的处罚。（须提供单独承诺函加盖投标人公章）</w:t>
      </w:r>
    </w:p>
    <w:p w14:paraId="46625F2C">
      <w:pPr>
        <w:pStyle w:val="15"/>
        <w:keepNext w:val="0"/>
        <w:keepLines w:val="0"/>
        <w:pageBreakBefore w:val="0"/>
        <w:kinsoku/>
        <w:wordWrap/>
        <w:overflowPunct/>
        <w:topLinePunct w:val="0"/>
        <w:autoSpaceDE/>
        <w:autoSpaceDN/>
        <w:bidi w:val="0"/>
        <w:adjustRightInd/>
        <w:snapToGrid w:val="0"/>
        <w:spacing w:line="360" w:lineRule="auto"/>
        <w:ind w:firstLine="44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3.</w:t>
      </w:r>
      <w:r>
        <w:rPr>
          <w:rFonts w:hint="eastAsia" w:ascii="宋体" w:hAnsi="宋体" w:eastAsia="宋体" w:cs="宋体"/>
          <w:color w:val="auto"/>
          <w:sz w:val="20"/>
          <w:szCs w:val="20"/>
          <w:highlight w:val="none"/>
        </w:rPr>
        <w:t>5.6</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在合同服务期内，如双方的协议内容与中央、省、市出台的政策精神和文件要求不符，或其他不可抗力理由，招标人有权要求无条件终止协议或按上级的政策、指示精神更改协议内容，中标供应商必须无条件给予配合。</w:t>
      </w:r>
    </w:p>
    <w:p w14:paraId="01E2EF54">
      <w:pPr>
        <w:pStyle w:val="15"/>
        <w:keepNext w:val="0"/>
        <w:keepLines w:val="0"/>
        <w:pageBreakBefore w:val="0"/>
        <w:kinsoku/>
        <w:wordWrap/>
        <w:overflowPunct/>
        <w:topLinePunct w:val="0"/>
        <w:autoSpaceDE/>
        <w:autoSpaceDN/>
        <w:bidi w:val="0"/>
        <w:adjustRightInd/>
        <w:snapToGrid w:val="0"/>
        <w:spacing w:line="360" w:lineRule="auto"/>
        <w:ind w:firstLine="44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3.</w:t>
      </w:r>
      <w:r>
        <w:rPr>
          <w:rFonts w:hint="eastAsia" w:ascii="宋体" w:hAnsi="宋体" w:eastAsia="宋体" w:cs="宋体"/>
          <w:color w:val="auto"/>
          <w:sz w:val="20"/>
          <w:szCs w:val="20"/>
          <w:highlight w:val="none"/>
        </w:rPr>
        <w:t>5.7</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服务考核</w:t>
      </w:r>
    </w:p>
    <w:p w14:paraId="40D4E6F3">
      <w:pPr>
        <w:pStyle w:val="15"/>
        <w:keepNext w:val="0"/>
        <w:keepLines w:val="0"/>
        <w:pageBreakBefore w:val="0"/>
        <w:kinsoku/>
        <w:wordWrap/>
        <w:overflowPunct/>
        <w:topLinePunct w:val="0"/>
        <w:autoSpaceDE/>
        <w:autoSpaceDN/>
        <w:bidi w:val="0"/>
        <w:adjustRightInd/>
        <w:snapToGrid w:val="0"/>
        <w:spacing w:line="360" w:lineRule="auto"/>
        <w:ind w:firstLine="44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3.</w:t>
      </w:r>
      <w:r>
        <w:rPr>
          <w:rFonts w:hint="eastAsia" w:ascii="宋体" w:hAnsi="宋体" w:eastAsia="宋体" w:cs="宋体"/>
          <w:color w:val="auto"/>
          <w:sz w:val="20"/>
          <w:szCs w:val="20"/>
          <w:highlight w:val="none"/>
        </w:rPr>
        <w:t>5.7.1</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本项目工作质量由采购人每月安排人员进行监督考核。（详见《项目考核情况表》）</w:t>
      </w:r>
    </w:p>
    <w:p w14:paraId="40316DB5">
      <w:pPr>
        <w:pStyle w:val="15"/>
        <w:keepNext w:val="0"/>
        <w:keepLines w:val="0"/>
        <w:pageBreakBefore w:val="0"/>
        <w:kinsoku/>
        <w:wordWrap/>
        <w:overflowPunct/>
        <w:topLinePunct w:val="0"/>
        <w:autoSpaceDE/>
        <w:autoSpaceDN/>
        <w:bidi w:val="0"/>
        <w:adjustRightInd/>
        <w:snapToGrid w:val="0"/>
        <w:spacing w:line="360" w:lineRule="auto"/>
        <w:ind w:firstLine="44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3.</w:t>
      </w:r>
      <w:r>
        <w:rPr>
          <w:rFonts w:hint="eastAsia" w:ascii="宋体" w:hAnsi="宋体" w:eastAsia="宋体" w:cs="宋体"/>
          <w:color w:val="auto"/>
          <w:sz w:val="20"/>
          <w:szCs w:val="20"/>
          <w:highlight w:val="none"/>
        </w:rPr>
        <w:t>5.7.2</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本项目所涉及的服务，由采购人组织对中标供应商随时进行考核评估（项目考核情况表详见附件），服务期限内，每次的服务考核评估达不到90分时，低于90分部分每低1分扣除当月服务费用的1%，即：低于90分时，扣除费用=（90-考核得分）/100）*当月服务费用，并要求中标供应商立刻调整。如调中标供应商连续累计2次服务考核低于80分，采购人有权单方面终止合同，中标供应商未能按合同提供服务给采购人造成的直接损失，追究其经济赔偿。</w:t>
      </w:r>
    </w:p>
    <w:p w14:paraId="176C13E3">
      <w:pPr>
        <w:pStyle w:val="15"/>
        <w:keepNext w:val="0"/>
        <w:keepLines w:val="0"/>
        <w:pageBreakBefore w:val="0"/>
        <w:kinsoku/>
        <w:wordWrap/>
        <w:overflowPunct/>
        <w:topLinePunct w:val="0"/>
        <w:autoSpaceDE/>
        <w:autoSpaceDN/>
        <w:bidi w:val="0"/>
        <w:adjustRightInd/>
        <w:snapToGrid w:val="0"/>
        <w:spacing w:line="360" w:lineRule="auto"/>
        <w:ind w:firstLine="44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3.6 </w:t>
      </w:r>
      <w:r>
        <w:rPr>
          <w:rFonts w:hint="eastAsia" w:ascii="宋体" w:hAnsi="宋体" w:eastAsia="宋体" w:cs="宋体"/>
          <w:color w:val="auto"/>
          <w:sz w:val="20"/>
          <w:szCs w:val="20"/>
          <w:highlight w:val="none"/>
        </w:rPr>
        <w:t>政府监督或第三方不定期对居家养老服务对象的满意度进行调查，若发现居家养老对象满意度低于80%，采购人责令中标供应商对服务内容进行整改，整改时长不超过一个月，整改期间，采购人有权暂停中标供应商的服务资格，并可向社会购买此期间“大配餐”服务，整改期满通过采购人验收合格后方可申请恢复配送服务资格。若整改期限内未完成整改，或连续连两次居家养老对象满意度低于80%的，采购方有权终止合同。</w:t>
      </w:r>
    </w:p>
    <w:p w14:paraId="237CEE7F">
      <w:pPr>
        <w:pStyle w:val="15"/>
        <w:keepNext w:val="0"/>
        <w:keepLines w:val="0"/>
        <w:pageBreakBefore w:val="0"/>
        <w:kinsoku/>
        <w:wordWrap/>
        <w:overflowPunct/>
        <w:topLinePunct w:val="0"/>
        <w:autoSpaceDE/>
        <w:autoSpaceDN/>
        <w:bidi w:val="0"/>
        <w:adjustRightInd/>
        <w:snapToGrid w:val="0"/>
        <w:spacing w:line="360" w:lineRule="auto"/>
        <w:ind w:firstLine="44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3.7 </w:t>
      </w:r>
      <w:r>
        <w:rPr>
          <w:rFonts w:hint="eastAsia" w:ascii="宋体" w:hAnsi="宋体" w:eastAsia="宋体" w:cs="宋体"/>
          <w:color w:val="auto"/>
          <w:sz w:val="20"/>
          <w:szCs w:val="20"/>
          <w:highlight w:val="none"/>
        </w:rPr>
        <w:t>每次配餐需留存各菜品，保存72小时作为食品安全事故留查。</w:t>
      </w:r>
    </w:p>
    <w:p w14:paraId="64C2EAD3">
      <w:pPr>
        <w:pStyle w:val="15"/>
        <w:keepNext w:val="0"/>
        <w:keepLines w:val="0"/>
        <w:pageBreakBefore w:val="0"/>
        <w:kinsoku/>
        <w:wordWrap/>
        <w:overflowPunct/>
        <w:topLinePunct w:val="0"/>
        <w:autoSpaceDE/>
        <w:autoSpaceDN/>
        <w:bidi w:val="0"/>
        <w:adjustRightInd/>
        <w:snapToGrid w:val="0"/>
        <w:spacing w:line="360" w:lineRule="auto"/>
        <w:ind w:firstLine="44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3.8 </w:t>
      </w:r>
      <w:r>
        <w:rPr>
          <w:rFonts w:hint="eastAsia" w:ascii="宋体" w:hAnsi="宋体" w:eastAsia="宋体" w:cs="宋体"/>
          <w:color w:val="auto"/>
          <w:sz w:val="20"/>
          <w:szCs w:val="20"/>
          <w:highlight w:val="none"/>
        </w:rPr>
        <w:t>中标供应商须配合采购人的要求，落实采购贫困地区农副产品的相关政策要求，通过贫困地区农副产品网络销售等平台采购贫困地区农副产品。</w:t>
      </w:r>
    </w:p>
    <w:p w14:paraId="2096116D">
      <w:pPr>
        <w:pStyle w:val="15"/>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b/>
          <w:color w:val="auto"/>
          <w:sz w:val="20"/>
          <w:szCs w:val="20"/>
          <w:highlight w:val="none"/>
        </w:rPr>
      </w:pPr>
    </w:p>
    <w:p w14:paraId="0B15FFDA">
      <w:pPr>
        <w:pStyle w:val="15"/>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四、关于价格</w:t>
      </w:r>
    </w:p>
    <w:p w14:paraId="03B647A7">
      <w:pPr>
        <w:pStyle w:val="15"/>
        <w:keepNext w:val="0"/>
        <w:keepLines w:val="0"/>
        <w:pageBreakBefore w:val="0"/>
        <w:kinsoku/>
        <w:wordWrap/>
        <w:overflowPunct/>
        <w:topLinePunct w:val="0"/>
        <w:autoSpaceDE/>
        <w:autoSpaceDN/>
        <w:bidi w:val="0"/>
        <w:adjustRightInd/>
        <w:snapToGrid w:val="0"/>
        <w:spacing w:line="360" w:lineRule="auto"/>
        <w:ind w:firstLine="44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4.1 </w:t>
      </w:r>
      <w:r>
        <w:rPr>
          <w:rFonts w:hint="eastAsia" w:ascii="宋体" w:hAnsi="宋体" w:eastAsia="宋体" w:cs="宋体"/>
          <w:color w:val="auto"/>
          <w:sz w:val="20"/>
          <w:szCs w:val="20"/>
          <w:highlight w:val="none"/>
        </w:rPr>
        <w:t>根据《政府采购货物和服务招标投标管理办法》相关条款：“执行国家统一定价标准和采用固定价格采购的项目，其价格不列为评审因素。”、《东莞市社区居家养老服务管理办法》和有关规定，本项目要求供应商按市场价每份22元标准订做，不需要进行报价</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lang w:val="en-US" w:eastAsia="zh-CN"/>
        </w:rPr>
        <w:t>若合同履行期间，补贴政策有变动，按最新的补贴政策执行</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rPr>
        <w:t>。</w:t>
      </w:r>
    </w:p>
    <w:p w14:paraId="09C81F45">
      <w:pPr>
        <w:pStyle w:val="15"/>
        <w:keepNext w:val="0"/>
        <w:keepLines w:val="0"/>
        <w:pageBreakBefore w:val="0"/>
        <w:kinsoku/>
        <w:wordWrap/>
        <w:overflowPunct/>
        <w:topLinePunct w:val="0"/>
        <w:autoSpaceDE/>
        <w:autoSpaceDN/>
        <w:bidi w:val="0"/>
        <w:adjustRightInd/>
        <w:snapToGrid w:val="0"/>
        <w:spacing w:line="360" w:lineRule="auto"/>
        <w:ind w:firstLine="44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4.2 </w:t>
      </w:r>
      <w:r>
        <w:rPr>
          <w:rFonts w:hint="eastAsia" w:ascii="宋体" w:hAnsi="宋体" w:eastAsia="宋体" w:cs="宋体"/>
          <w:color w:val="auto"/>
          <w:sz w:val="20"/>
          <w:szCs w:val="20"/>
          <w:highlight w:val="none"/>
        </w:rPr>
        <w:t>投标人必须在服务期内为享受“大配餐”居家养老服务对象购买食品安全责任保险，且团体保险每年保额不低于500万。（须提供单独承诺函加盖投标人公章）</w:t>
      </w:r>
    </w:p>
    <w:p w14:paraId="49680366">
      <w:pPr>
        <w:pStyle w:val="15"/>
        <w:keepNext w:val="0"/>
        <w:keepLines w:val="0"/>
        <w:pageBreakBefore w:val="0"/>
        <w:kinsoku/>
        <w:wordWrap/>
        <w:overflowPunct/>
        <w:topLinePunct w:val="0"/>
        <w:autoSpaceDE/>
        <w:autoSpaceDN/>
        <w:bidi w:val="0"/>
        <w:adjustRightInd/>
        <w:snapToGrid w:val="0"/>
        <w:spacing w:line="360" w:lineRule="auto"/>
        <w:ind w:firstLine="44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4.3 </w:t>
      </w:r>
      <w:r>
        <w:rPr>
          <w:rFonts w:hint="eastAsia" w:ascii="宋体" w:hAnsi="宋体" w:eastAsia="宋体" w:cs="宋体"/>
          <w:color w:val="auto"/>
          <w:sz w:val="20"/>
          <w:szCs w:val="20"/>
          <w:highlight w:val="none"/>
        </w:rPr>
        <w:t>投标人须承诺在项目服务期内，若相关部门有统一的政策调整，中标供应商须无条件服从并积极配合采购人按最新的政策要求签订补充协议，必要时可终止合同。（须提供单独承诺函加盖投标人公章）</w:t>
      </w:r>
    </w:p>
    <w:p w14:paraId="36DB2379">
      <w:pPr>
        <w:pStyle w:val="15"/>
        <w:keepNext w:val="0"/>
        <w:keepLines w:val="0"/>
        <w:pageBreakBefore w:val="0"/>
        <w:kinsoku/>
        <w:wordWrap/>
        <w:overflowPunct/>
        <w:topLinePunct w:val="0"/>
        <w:autoSpaceDE/>
        <w:autoSpaceDN/>
        <w:bidi w:val="0"/>
        <w:adjustRightInd/>
        <w:snapToGrid w:val="0"/>
        <w:spacing w:line="360" w:lineRule="auto"/>
        <w:ind w:firstLine="44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4.4 </w:t>
      </w:r>
      <w:r>
        <w:rPr>
          <w:rFonts w:hint="eastAsia" w:ascii="宋体" w:hAnsi="宋体" w:eastAsia="宋体" w:cs="宋体"/>
          <w:color w:val="auto"/>
          <w:sz w:val="20"/>
          <w:szCs w:val="20"/>
          <w:highlight w:val="none"/>
        </w:rPr>
        <w:t>本项目为大包干项目，配餐标准包含服务期内的团体保险费、各项管理费、人员工资、补贴、工服、劳保福利、劳动用工手续、体检、社会保险费、公积金、风险金和一切税费等全部费用，采购人不再另行支付任何其他费用。</w:t>
      </w:r>
    </w:p>
    <w:p w14:paraId="130B4972">
      <w:pPr>
        <w:pStyle w:val="15"/>
        <w:keepNext w:val="0"/>
        <w:keepLines w:val="0"/>
        <w:pageBreakBefore w:val="0"/>
        <w:kinsoku/>
        <w:wordWrap/>
        <w:overflowPunct/>
        <w:topLinePunct w:val="0"/>
        <w:autoSpaceDE/>
        <w:autoSpaceDN/>
        <w:bidi w:val="0"/>
        <w:adjustRightInd/>
        <w:snapToGrid w:val="0"/>
        <w:spacing w:line="360" w:lineRule="auto"/>
        <w:ind w:firstLine="44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4.5 </w:t>
      </w:r>
      <w:r>
        <w:rPr>
          <w:rFonts w:hint="eastAsia" w:ascii="宋体" w:hAnsi="宋体" w:eastAsia="宋体" w:cs="宋体"/>
          <w:color w:val="auto"/>
          <w:sz w:val="20"/>
          <w:szCs w:val="20"/>
          <w:highlight w:val="none"/>
        </w:rPr>
        <w:t>合同期内如果人工和材料成本上涨，采购人可参考人力资源与社会保障部门发布的东莞市最低工资规定、东莞市社会平均工资、东莞市发展和改革局公布的“东莞市菜篮子价格监测表”的价格，对配餐标准金额进行上调，上调幅度不大于10%。</w:t>
      </w:r>
    </w:p>
    <w:p w14:paraId="487D68BB">
      <w:pPr>
        <w:pStyle w:val="15"/>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0"/>
          <w:szCs w:val="20"/>
          <w:highlight w:val="none"/>
        </w:rPr>
      </w:pPr>
    </w:p>
    <w:p w14:paraId="7D730F1B">
      <w:pPr>
        <w:pStyle w:val="15"/>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b/>
          <w:color w:val="auto"/>
          <w:sz w:val="20"/>
          <w:szCs w:val="20"/>
          <w:highlight w:val="none"/>
        </w:rPr>
      </w:pPr>
      <w:r>
        <w:rPr>
          <w:rFonts w:hint="eastAsia" w:ascii="宋体" w:hAnsi="宋体" w:eastAsia="宋体" w:cs="宋体"/>
          <w:b/>
          <w:color w:val="auto"/>
          <w:sz w:val="20"/>
          <w:szCs w:val="20"/>
          <w:highlight w:val="none"/>
          <w:lang w:val="en-US" w:eastAsia="zh-CN"/>
        </w:rPr>
        <w:t>五</w:t>
      </w:r>
      <w:r>
        <w:rPr>
          <w:rFonts w:hint="eastAsia" w:ascii="宋体" w:hAnsi="宋体" w:eastAsia="宋体" w:cs="宋体"/>
          <w:b/>
          <w:color w:val="auto"/>
          <w:sz w:val="20"/>
          <w:szCs w:val="20"/>
          <w:highlight w:val="none"/>
        </w:rPr>
        <w:t>、特殊情况下服务保障要求</w:t>
      </w:r>
    </w:p>
    <w:p w14:paraId="16FF9708">
      <w:pPr>
        <w:pStyle w:val="15"/>
        <w:keepNext w:val="0"/>
        <w:keepLines w:val="0"/>
        <w:pageBreakBefore w:val="0"/>
        <w:kinsoku/>
        <w:wordWrap/>
        <w:overflowPunct/>
        <w:topLinePunct w:val="0"/>
        <w:autoSpaceDE/>
        <w:autoSpaceDN/>
        <w:bidi w:val="0"/>
        <w:adjustRightInd/>
        <w:snapToGrid w:val="0"/>
        <w:spacing w:line="360" w:lineRule="auto"/>
        <w:ind w:firstLine="400" w:firstLineChars="20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为切实保障辖区内老年人的日常用餐需求，确保服务的安全、连续与可靠，投标人必须制定详尽、高效、可操作的应急预案，以应对台风、暴雨等极端天气、重大节假日、重大活动以及其他可能影响供餐服务的特殊情况。投标人对此的承诺和具体实施方案将作为评审的重要依据。</w:t>
      </w:r>
    </w:p>
    <w:p w14:paraId="1BC290F4">
      <w:pPr>
        <w:pStyle w:val="15"/>
        <w:keepNext w:val="0"/>
        <w:keepLines w:val="0"/>
        <w:pageBreakBefore w:val="0"/>
        <w:kinsoku/>
        <w:wordWrap/>
        <w:overflowPunct/>
        <w:topLinePunct w:val="0"/>
        <w:autoSpaceDE/>
        <w:autoSpaceDN/>
        <w:bidi w:val="0"/>
        <w:adjustRightInd/>
        <w:snapToGrid w:val="0"/>
        <w:spacing w:line="360" w:lineRule="auto"/>
        <w:ind w:firstLine="400" w:firstLineChars="20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5.1</w:t>
      </w:r>
      <w:r>
        <w:rPr>
          <w:rFonts w:hint="eastAsia" w:ascii="宋体" w:hAnsi="宋体" w:eastAsia="宋体" w:cs="宋体"/>
          <w:color w:val="auto"/>
          <w:sz w:val="20"/>
          <w:szCs w:val="20"/>
          <w:highlight w:val="none"/>
        </w:rPr>
        <w:t>总体要求</w:t>
      </w:r>
    </w:p>
    <w:p w14:paraId="64C6BC0F">
      <w:pPr>
        <w:pStyle w:val="15"/>
        <w:keepNext w:val="0"/>
        <w:keepLines w:val="0"/>
        <w:pageBreakBefore w:val="0"/>
        <w:kinsoku/>
        <w:wordWrap/>
        <w:overflowPunct/>
        <w:topLinePunct w:val="0"/>
        <w:autoSpaceDE/>
        <w:autoSpaceDN/>
        <w:bidi w:val="0"/>
        <w:adjustRightInd/>
        <w:snapToGrid w:val="0"/>
        <w:spacing w:line="360" w:lineRule="auto"/>
        <w:ind w:firstLine="400" w:firstLineChars="20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投标人须承诺，在任何特殊情况下，均不以任何理由擅自停止“居家养老大配餐”服务。必须建立全方位的保障体系，确保从餐食制作、分装、配送到后续服务的每一个环节都具备抗干扰和持续运营的能力，实现服务的“无缝衔接”。</w:t>
      </w:r>
    </w:p>
    <w:p w14:paraId="37499DE8">
      <w:pPr>
        <w:pStyle w:val="15"/>
        <w:keepNext w:val="0"/>
        <w:keepLines w:val="0"/>
        <w:pageBreakBefore w:val="0"/>
        <w:kinsoku/>
        <w:wordWrap/>
        <w:overflowPunct/>
        <w:topLinePunct w:val="0"/>
        <w:autoSpaceDE/>
        <w:autoSpaceDN/>
        <w:bidi w:val="0"/>
        <w:adjustRightInd/>
        <w:snapToGrid w:val="0"/>
        <w:spacing w:line="360" w:lineRule="auto"/>
        <w:ind w:firstLine="400" w:firstLineChars="20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5.2 </w:t>
      </w:r>
      <w:r>
        <w:rPr>
          <w:rFonts w:hint="eastAsia" w:ascii="宋体" w:hAnsi="宋体" w:eastAsia="宋体" w:cs="宋体"/>
          <w:color w:val="auto"/>
          <w:sz w:val="20"/>
          <w:szCs w:val="20"/>
          <w:highlight w:val="none"/>
        </w:rPr>
        <w:t>应急预案要求</w:t>
      </w:r>
    </w:p>
    <w:p w14:paraId="2F269A70">
      <w:pPr>
        <w:pStyle w:val="15"/>
        <w:keepNext w:val="0"/>
        <w:keepLines w:val="0"/>
        <w:pageBreakBefore w:val="0"/>
        <w:kinsoku/>
        <w:wordWrap/>
        <w:overflowPunct/>
        <w:topLinePunct w:val="0"/>
        <w:autoSpaceDE/>
        <w:autoSpaceDN/>
        <w:bidi w:val="0"/>
        <w:adjustRightInd/>
        <w:snapToGrid w:val="0"/>
        <w:spacing w:line="360" w:lineRule="auto"/>
        <w:ind w:firstLine="400" w:firstLineChars="20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预案制定：必须提交针对不同特殊情况的专项应急预案，预案需科学、具体、可操作性强，明确不同预警级别下的响应措施和指挥流程。</w:t>
      </w:r>
    </w:p>
    <w:p w14:paraId="2A144F12">
      <w:pPr>
        <w:pStyle w:val="15"/>
        <w:keepNext w:val="0"/>
        <w:keepLines w:val="0"/>
        <w:pageBreakBefore w:val="0"/>
        <w:kinsoku/>
        <w:wordWrap/>
        <w:overflowPunct/>
        <w:topLinePunct w:val="0"/>
        <w:autoSpaceDE/>
        <w:autoSpaceDN/>
        <w:bidi w:val="0"/>
        <w:adjustRightInd/>
        <w:snapToGrid w:val="0"/>
        <w:spacing w:line="360" w:lineRule="auto"/>
        <w:ind w:firstLine="400" w:firstLineChars="20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预案内容： 预案应至少涵盖但不限于以下方面：</w:t>
      </w:r>
    </w:p>
    <w:p w14:paraId="4268125E">
      <w:pPr>
        <w:pStyle w:val="15"/>
        <w:keepNext w:val="0"/>
        <w:keepLines w:val="0"/>
        <w:pageBreakBefore w:val="0"/>
        <w:kinsoku/>
        <w:wordWrap/>
        <w:overflowPunct/>
        <w:topLinePunct w:val="0"/>
        <w:autoSpaceDE/>
        <w:autoSpaceDN/>
        <w:bidi w:val="0"/>
        <w:adjustRightInd/>
        <w:snapToGrid w:val="0"/>
        <w:spacing w:line="360" w:lineRule="auto"/>
        <w:ind w:firstLine="400" w:firstLineChars="20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5.2.1 </w:t>
      </w:r>
      <w:r>
        <w:rPr>
          <w:rFonts w:hint="eastAsia" w:ascii="宋体" w:hAnsi="宋体" w:eastAsia="宋体" w:cs="宋体"/>
          <w:color w:val="auto"/>
          <w:sz w:val="20"/>
          <w:szCs w:val="20"/>
          <w:highlight w:val="none"/>
        </w:rPr>
        <w:t>极端天气（如台风、暴雨、高温、冰冻等）：包括但不限于提前备货、加固设施、安排应急配送车辆（如高底盘车辆）、配送人员安全防护、延长配送时限、与社区联动设立临时取餐点等方案。</w:t>
      </w:r>
    </w:p>
    <w:p w14:paraId="3448B612">
      <w:pPr>
        <w:pStyle w:val="15"/>
        <w:keepNext w:val="0"/>
        <w:keepLines w:val="0"/>
        <w:pageBreakBefore w:val="0"/>
        <w:kinsoku/>
        <w:wordWrap/>
        <w:overflowPunct/>
        <w:topLinePunct w:val="0"/>
        <w:autoSpaceDE/>
        <w:autoSpaceDN/>
        <w:bidi w:val="0"/>
        <w:adjustRightInd/>
        <w:snapToGrid w:val="0"/>
        <w:spacing w:line="360" w:lineRule="auto"/>
        <w:ind w:firstLine="400" w:firstLineChars="20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5.2.2 </w:t>
      </w:r>
      <w:r>
        <w:rPr>
          <w:rFonts w:hint="eastAsia" w:ascii="宋体" w:hAnsi="宋体" w:eastAsia="宋体" w:cs="宋体"/>
          <w:color w:val="auto"/>
          <w:sz w:val="20"/>
          <w:szCs w:val="20"/>
          <w:highlight w:val="none"/>
        </w:rPr>
        <w:t>重大节假日（如春节、国庆等）：包括提前调研老年人用餐需求、做好原料储备、合理安排工作人员调休与加班、提前发布供餐安排通知等，确保节日期间服务照常。</w:t>
      </w:r>
    </w:p>
    <w:p w14:paraId="4BDA3CEC">
      <w:pPr>
        <w:pStyle w:val="15"/>
        <w:keepNext w:val="0"/>
        <w:keepLines w:val="0"/>
        <w:pageBreakBefore w:val="0"/>
        <w:kinsoku/>
        <w:wordWrap/>
        <w:overflowPunct/>
        <w:topLinePunct w:val="0"/>
        <w:autoSpaceDE/>
        <w:autoSpaceDN/>
        <w:bidi w:val="0"/>
        <w:adjustRightInd/>
        <w:snapToGrid w:val="0"/>
        <w:spacing w:line="360" w:lineRule="auto"/>
        <w:ind w:firstLine="400" w:firstLineChars="20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5.2.3 </w:t>
      </w:r>
      <w:r>
        <w:rPr>
          <w:rFonts w:hint="eastAsia" w:ascii="宋体" w:hAnsi="宋体" w:eastAsia="宋体" w:cs="宋体"/>
          <w:color w:val="auto"/>
          <w:sz w:val="20"/>
          <w:szCs w:val="20"/>
          <w:highlight w:val="none"/>
        </w:rPr>
        <w:t>重大活动期间：积极配合政府部门的管理要求，提前规划备用路线和配送方案，确保活动期间送餐不受交通管制等因素影响。</w:t>
      </w:r>
    </w:p>
    <w:p w14:paraId="36C0C2DE">
      <w:pPr>
        <w:pStyle w:val="15"/>
        <w:keepNext w:val="0"/>
        <w:keepLines w:val="0"/>
        <w:pageBreakBefore w:val="0"/>
        <w:kinsoku/>
        <w:wordWrap/>
        <w:overflowPunct/>
        <w:topLinePunct w:val="0"/>
        <w:autoSpaceDE/>
        <w:autoSpaceDN/>
        <w:bidi w:val="0"/>
        <w:adjustRightInd/>
        <w:snapToGrid w:val="0"/>
        <w:spacing w:line="360" w:lineRule="auto"/>
        <w:ind w:firstLine="400" w:firstLineChars="20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5.2.4 </w:t>
      </w:r>
      <w:r>
        <w:rPr>
          <w:rFonts w:hint="eastAsia" w:ascii="宋体" w:hAnsi="宋体" w:eastAsia="宋体" w:cs="宋体"/>
          <w:color w:val="auto"/>
          <w:sz w:val="20"/>
          <w:szCs w:val="20"/>
          <w:highlight w:val="none"/>
        </w:rPr>
        <w:t>公共安全事件（如突发疫情）：制定无接触配送、餐食二次加热指导、配送人员健康管理等方案。</w:t>
      </w:r>
    </w:p>
    <w:p w14:paraId="5B79D22A">
      <w:pPr>
        <w:pStyle w:val="15"/>
        <w:keepNext w:val="0"/>
        <w:keepLines w:val="0"/>
        <w:pageBreakBefore w:val="0"/>
        <w:kinsoku/>
        <w:wordWrap/>
        <w:overflowPunct/>
        <w:topLinePunct w:val="0"/>
        <w:autoSpaceDE/>
        <w:autoSpaceDN/>
        <w:bidi w:val="0"/>
        <w:adjustRightInd/>
        <w:snapToGrid w:val="0"/>
        <w:spacing w:line="360" w:lineRule="auto"/>
        <w:ind w:firstLine="400" w:firstLineChars="20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5.2.5 </w:t>
      </w:r>
      <w:r>
        <w:rPr>
          <w:rFonts w:hint="eastAsia" w:ascii="宋体" w:hAnsi="宋体" w:eastAsia="宋体" w:cs="宋体"/>
          <w:color w:val="auto"/>
          <w:sz w:val="20"/>
          <w:szCs w:val="20"/>
          <w:highlight w:val="none"/>
        </w:rPr>
        <w:t>其他突发事件（如停电、停水、设备故障）：配备应急发电设备、储备水源、建立快速维修机制或启用备用加工点。</w:t>
      </w:r>
    </w:p>
    <w:p w14:paraId="46C842B7">
      <w:pPr>
        <w:pStyle w:val="15"/>
        <w:keepNext w:val="0"/>
        <w:keepLines w:val="0"/>
        <w:pageBreakBefore w:val="0"/>
        <w:kinsoku/>
        <w:wordWrap/>
        <w:overflowPunct/>
        <w:topLinePunct w:val="0"/>
        <w:autoSpaceDE/>
        <w:autoSpaceDN/>
        <w:bidi w:val="0"/>
        <w:adjustRightInd/>
        <w:snapToGrid w:val="0"/>
        <w:spacing w:line="360" w:lineRule="auto"/>
        <w:ind w:firstLine="400" w:firstLineChars="20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5.3 </w:t>
      </w:r>
      <w:r>
        <w:rPr>
          <w:rFonts w:hint="eastAsia" w:ascii="宋体" w:hAnsi="宋体" w:eastAsia="宋体" w:cs="宋体"/>
          <w:color w:val="auto"/>
          <w:sz w:val="20"/>
          <w:szCs w:val="20"/>
          <w:highlight w:val="none"/>
        </w:rPr>
        <w:t>资源保障要求</w:t>
      </w:r>
    </w:p>
    <w:p w14:paraId="06270344">
      <w:pPr>
        <w:pStyle w:val="15"/>
        <w:keepNext w:val="0"/>
        <w:keepLines w:val="0"/>
        <w:pageBreakBefore w:val="0"/>
        <w:kinsoku/>
        <w:wordWrap/>
        <w:overflowPunct/>
        <w:topLinePunct w:val="0"/>
        <w:autoSpaceDE/>
        <w:autoSpaceDN/>
        <w:bidi w:val="0"/>
        <w:adjustRightInd/>
        <w:snapToGrid w:val="0"/>
        <w:spacing w:line="360" w:lineRule="auto"/>
        <w:ind w:firstLine="400" w:firstLineChars="20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5.3.1 </w:t>
      </w:r>
      <w:r>
        <w:rPr>
          <w:rFonts w:hint="eastAsia" w:ascii="宋体" w:hAnsi="宋体" w:eastAsia="宋体" w:cs="宋体"/>
          <w:color w:val="auto"/>
          <w:sz w:val="20"/>
          <w:szCs w:val="20"/>
          <w:highlight w:val="none"/>
        </w:rPr>
        <w:t>物资储备：必须建立至少能满足 3天 全负荷运营所需的米、面、油、肉禽、耐储存蔬菜等主要食材及一次性餐盒、餐具的应急储备库，并建立稳定的应急采购渠道，确保供应链韧性。</w:t>
      </w:r>
    </w:p>
    <w:p w14:paraId="7456769B">
      <w:pPr>
        <w:pStyle w:val="15"/>
        <w:keepNext w:val="0"/>
        <w:keepLines w:val="0"/>
        <w:pageBreakBefore w:val="0"/>
        <w:kinsoku/>
        <w:wordWrap/>
        <w:overflowPunct/>
        <w:topLinePunct w:val="0"/>
        <w:autoSpaceDE/>
        <w:autoSpaceDN/>
        <w:bidi w:val="0"/>
        <w:adjustRightInd/>
        <w:snapToGrid w:val="0"/>
        <w:spacing w:line="360" w:lineRule="auto"/>
        <w:ind w:firstLine="400" w:firstLineChars="20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5.3.2 </w:t>
      </w:r>
      <w:r>
        <w:rPr>
          <w:rFonts w:hint="eastAsia" w:ascii="宋体" w:hAnsi="宋体" w:eastAsia="宋体" w:cs="宋体"/>
          <w:color w:val="auto"/>
          <w:sz w:val="20"/>
          <w:szCs w:val="20"/>
          <w:highlight w:val="none"/>
        </w:rPr>
        <w:t>人员保障：建立一支应急服务队伍，明确各岗位A/B角备份机制，确保关键岗位（如厨师、配送员、调度员）在特殊情况下有充足人手到岗。应制定人员应急动员和补偿激励机制。</w:t>
      </w:r>
    </w:p>
    <w:p w14:paraId="30389382">
      <w:pPr>
        <w:pStyle w:val="15"/>
        <w:keepNext w:val="0"/>
        <w:keepLines w:val="0"/>
        <w:pageBreakBefore w:val="0"/>
        <w:kinsoku/>
        <w:wordWrap/>
        <w:overflowPunct/>
        <w:topLinePunct w:val="0"/>
        <w:autoSpaceDE/>
        <w:autoSpaceDN/>
        <w:bidi w:val="0"/>
        <w:adjustRightInd/>
        <w:snapToGrid w:val="0"/>
        <w:spacing w:line="360" w:lineRule="auto"/>
        <w:ind w:firstLine="400" w:firstLineChars="20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5.3.3 </w:t>
      </w:r>
      <w:r>
        <w:rPr>
          <w:rFonts w:hint="eastAsia" w:ascii="宋体" w:hAnsi="宋体" w:eastAsia="宋体" w:cs="宋体"/>
          <w:color w:val="auto"/>
          <w:sz w:val="20"/>
          <w:szCs w:val="20"/>
          <w:highlight w:val="none"/>
        </w:rPr>
        <w:t>设施与设备保障： 中央厨房/配送中心应具备应对极端天气的硬件条件（如防洪、防台风能力）。应配备备用电源、备用炊具、应急照明、通讯设备等。须保有至少 2辆 以上适用于恶劣天气的应急配送车辆。</w:t>
      </w:r>
    </w:p>
    <w:p w14:paraId="101D8A9E">
      <w:pPr>
        <w:pStyle w:val="15"/>
        <w:keepNext w:val="0"/>
        <w:keepLines w:val="0"/>
        <w:pageBreakBefore w:val="0"/>
        <w:kinsoku/>
        <w:wordWrap/>
        <w:overflowPunct/>
        <w:topLinePunct w:val="0"/>
        <w:autoSpaceDE/>
        <w:autoSpaceDN/>
        <w:bidi w:val="0"/>
        <w:adjustRightInd/>
        <w:snapToGrid w:val="0"/>
        <w:spacing w:line="360" w:lineRule="auto"/>
        <w:ind w:firstLine="400" w:firstLineChars="20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5.4 </w:t>
      </w:r>
      <w:r>
        <w:rPr>
          <w:rFonts w:hint="eastAsia" w:ascii="宋体" w:hAnsi="宋体" w:eastAsia="宋体" w:cs="宋体"/>
          <w:color w:val="auto"/>
          <w:sz w:val="20"/>
          <w:szCs w:val="20"/>
          <w:highlight w:val="none"/>
        </w:rPr>
        <w:t>沟通机制：建立高效、多渠道的预警通知机制。在特殊情况发生前、中、后期，必须通过电话、短信、微信群、社区公告等多种方式，及时、准确地将服务调整信息（如时间微调、配送方式变更等）通知到每一位服务对象及社区对接人。</w:t>
      </w:r>
    </w:p>
    <w:p w14:paraId="4E05D1ED">
      <w:pPr>
        <w:rPr>
          <w:rFonts w:hint="eastAsia" w:ascii="宋体" w:hAnsi="宋体" w:eastAsia="宋体" w:cs="宋体"/>
          <w:b/>
          <w:color w:val="auto"/>
          <w:sz w:val="20"/>
          <w:szCs w:val="20"/>
          <w:highlight w:val="none"/>
        </w:rPr>
      </w:pPr>
      <w:r>
        <w:rPr>
          <w:rFonts w:hint="eastAsia" w:ascii="宋体" w:hAnsi="宋体" w:eastAsia="宋体" w:cs="宋体"/>
          <w:b/>
          <w:color w:val="auto"/>
          <w:sz w:val="20"/>
          <w:szCs w:val="20"/>
          <w:highlight w:val="none"/>
        </w:rPr>
        <w:br w:type="page"/>
      </w:r>
    </w:p>
    <w:p w14:paraId="366C99A5">
      <w:pPr>
        <w:pStyle w:val="15"/>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附件：1.《项目考核情况表》</w:t>
      </w:r>
    </w:p>
    <w:tbl>
      <w:tblPr>
        <w:tblStyle w:val="11"/>
        <w:tblW w:w="81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0"/>
        <w:gridCol w:w="2562"/>
        <w:gridCol w:w="3850"/>
        <w:gridCol w:w="1093"/>
      </w:tblGrid>
      <w:tr w14:paraId="4D283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tcMar>
              <w:top w:w="0" w:type="dxa"/>
              <w:left w:w="105" w:type="dxa"/>
              <w:bottom w:w="0" w:type="dxa"/>
              <w:right w:w="105" w:type="dxa"/>
            </w:tcMar>
            <w:vAlign w:val="center"/>
          </w:tcPr>
          <w:p w14:paraId="3C2D9A72">
            <w:pPr>
              <w:pStyle w:val="15"/>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项目</w:t>
            </w:r>
          </w:p>
        </w:tc>
        <w:tc>
          <w:tcPr>
            <w:tcW w:w="2562" w:type="dxa"/>
            <w:tcMar>
              <w:top w:w="0" w:type="dxa"/>
              <w:left w:w="105" w:type="dxa"/>
              <w:bottom w:w="0" w:type="dxa"/>
              <w:right w:w="105" w:type="dxa"/>
            </w:tcMar>
            <w:vAlign w:val="center"/>
          </w:tcPr>
          <w:p w14:paraId="546C9781">
            <w:pPr>
              <w:pStyle w:val="15"/>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考核内容</w:t>
            </w:r>
          </w:p>
        </w:tc>
        <w:tc>
          <w:tcPr>
            <w:tcW w:w="3850" w:type="dxa"/>
            <w:tcMar>
              <w:top w:w="0" w:type="dxa"/>
              <w:left w:w="105" w:type="dxa"/>
              <w:bottom w:w="0" w:type="dxa"/>
              <w:right w:w="105" w:type="dxa"/>
            </w:tcMar>
            <w:vAlign w:val="center"/>
          </w:tcPr>
          <w:p w14:paraId="23DE4301">
            <w:pPr>
              <w:pStyle w:val="15"/>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扣分细则</w:t>
            </w:r>
          </w:p>
        </w:tc>
        <w:tc>
          <w:tcPr>
            <w:tcW w:w="1093" w:type="dxa"/>
            <w:tcMar>
              <w:top w:w="0" w:type="dxa"/>
              <w:left w:w="105" w:type="dxa"/>
              <w:bottom w:w="0" w:type="dxa"/>
              <w:right w:w="105" w:type="dxa"/>
            </w:tcMar>
            <w:vAlign w:val="center"/>
          </w:tcPr>
          <w:p w14:paraId="7A731BBE">
            <w:pPr>
              <w:pStyle w:val="15"/>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分数占比</w:t>
            </w:r>
          </w:p>
        </w:tc>
      </w:tr>
      <w:tr w14:paraId="101DA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tcMar>
              <w:top w:w="0" w:type="dxa"/>
              <w:left w:w="105" w:type="dxa"/>
              <w:bottom w:w="0" w:type="dxa"/>
              <w:right w:w="105" w:type="dxa"/>
            </w:tcMar>
            <w:vAlign w:val="center"/>
          </w:tcPr>
          <w:p w14:paraId="39D6C656">
            <w:pPr>
              <w:pStyle w:val="15"/>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食品安全事故责任</w:t>
            </w:r>
          </w:p>
        </w:tc>
        <w:tc>
          <w:tcPr>
            <w:tcW w:w="2562" w:type="dxa"/>
            <w:tcMar>
              <w:top w:w="0" w:type="dxa"/>
              <w:left w:w="105" w:type="dxa"/>
              <w:bottom w:w="0" w:type="dxa"/>
              <w:right w:w="105" w:type="dxa"/>
            </w:tcMar>
            <w:vAlign w:val="center"/>
          </w:tcPr>
          <w:p w14:paraId="25F39BA4">
            <w:pPr>
              <w:pStyle w:val="15"/>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如因食品加工、存放不当或场地设备（设施）、器具消毒、保洁不到位的原因造成的食品安全事故的，由此产生的责任由供应商承担。</w:t>
            </w:r>
          </w:p>
        </w:tc>
        <w:tc>
          <w:tcPr>
            <w:tcW w:w="3850" w:type="dxa"/>
            <w:tcMar>
              <w:top w:w="0" w:type="dxa"/>
              <w:left w:w="105" w:type="dxa"/>
              <w:bottom w:w="0" w:type="dxa"/>
              <w:right w:w="105" w:type="dxa"/>
            </w:tcMar>
            <w:vAlign w:val="center"/>
          </w:tcPr>
          <w:p w14:paraId="7A886EC3">
            <w:pPr>
              <w:pStyle w:val="15"/>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1、造成食品安全事故一次扣30分；</w:t>
            </w:r>
          </w:p>
          <w:p w14:paraId="40235D4A">
            <w:pPr>
              <w:pStyle w:val="15"/>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2、对采购人提出的合理意见不改正的，发现一次扣5分。</w:t>
            </w:r>
          </w:p>
        </w:tc>
        <w:tc>
          <w:tcPr>
            <w:tcW w:w="1093" w:type="dxa"/>
            <w:tcMar>
              <w:top w:w="0" w:type="dxa"/>
              <w:left w:w="105" w:type="dxa"/>
              <w:bottom w:w="0" w:type="dxa"/>
              <w:right w:w="105" w:type="dxa"/>
            </w:tcMar>
            <w:vAlign w:val="center"/>
          </w:tcPr>
          <w:p w14:paraId="4DD982C5">
            <w:pPr>
              <w:pStyle w:val="15"/>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30分</w:t>
            </w:r>
          </w:p>
        </w:tc>
      </w:tr>
      <w:tr w14:paraId="12AE9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Merge w:val="restart"/>
            <w:tcMar>
              <w:top w:w="0" w:type="dxa"/>
              <w:left w:w="105" w:type="dxa"/>
              <w:bottom w:w="0" w:type="dxa"/>
              <w:right w:w="105" w:type="dxa"/>
            </w:tcMar>
            <w:vAlign w:val="center"/>
          </w:tcPr>
          <w:p w14:paraId="63520C59">
            <w:pPr>
              <w:pStyle w:val="15"/>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食品安全管理责任</w:t>
            </w:r>
          </w:p>
        </w:tc>
        <w:tc>
          <w:tcPr>
            <w:tcW w:w="2562" w:type="dxa"/>
            <w:tcMar>
              <w:top w:w="0" w:type="dxa"/>
              <w:left w:w="105" w:type="dxa"/>
              <w:bottom w:w="0" w:type="dxa"/>
              <w:right w:w="105" w:type="dxa"/>
            </w:tcMar>
            <w:vAlign w:val="center"/>
          </w:tcPr>
          <w:p w14:paraId="7E7901D6">
            <w:pPr>
              <w:pStyle w:val="15"/>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1、服装要求</w:t>
            </w:r>
          </w:p>
        </w:tc>
        <w:tc>
          <w:tcPr>
            <w:tcW w:w="3850" w:type="dxa"/>
            <w:tcMar>
              <w:top w:w="0" w:type="dxa"/>
              <w:left w:w="105" w:type="dxa"/>
              <w:bottom w:w="0" w:type="dxa"/>
              <w:right w:w="105" w:type="dxa"/>
            </w:tcMar>
            <w:vAlign w:val="center"/>
          </w:tcPr>
          <w:p w14:paraId="1706FF05">
            <w:pPr>
              <w:pStyle w:val="15"/>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在岗期间，服务人员不按规定着装的，每发现1人，扣1分。</w:t>
            </w:r>
          </w:p>
        </w:tc>
        <w:tc>
          <w:tcPr>
            <w:tcW w:w="1093" w:type="dxa"/>
            <w:tcMar>
              <w:top w:w="0" w:type="dxa"/>
              <w:left w:w="105" w:type="dxa"/>
              <w:bottom w:w="0" w:type="dxa"/>
              <w:right w:w="105" w:type="dxa"/>
            </w:tcMar>
            <w:vAlign w:val="center"/>
          </w:tcPr>
          <w:p w14:paraId="55800B20">
            <w:pPr>
              <w:pStyle w:val="15"/>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5分</w:t>
            </w:r>
          </w:p>
        </w:tc>
      </w:tr>
      <w:tr w14:paraId="22416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Merge w:val="continue"/>
            <w:vAlign w:val="center"/>
          </w:tcPr>
          <w:p w14:paraId="76D58BCC">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p>
        </w:tc>
        <w:tc>
          <w:tcPr>
            <w:tcW w:w="2562" w:type="dxa"/>
            <w:tcMar>
              <w:top w:w="0" w:type="dxa"/>
              <w:left w:w="105" w:type="dxa"/>
              <w:bottom w:w="0" w:type="dxa"/>
              <w:right w:w="105" w:type="dxa"/>
            </w:tcMar>
            <w:vAlign w:val="center"/>
          </w:tcPr>
          <w:p w14:paraId="18B07ED3">
            <w:pPr>
              <w:pStyle w:val="15"/>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2、个人卫生要求</w:t>
            </w:r>
          </w:p>
        </w:tc>
        <w:tc>
          <w:tcPr>
            <w:tcW w:w="3850" w:type="dxa"/>
            <w:tcMar>
              <w:top w:w="0" w:type="dxa"/>
              <w:left w:w="105" w:type="dxa"/>
              <w:bottom w:w="0" w:type="dxa"/>
              <w:right w:w="105" w:type="dxa"/>
            </w:tcMar>
            <w:vAlign w:val="center"/>
          </w:tcPr>
          <w:p w14:paraId="216E9433">
            <w:pPr>
              <w:pStyle w:val="15"/>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在岗期间，服务人员不遵守个人卫生制度，每发现1人，扣1分</w:t>
            </w:r>
          </w:p>
        </w:tc>
        <w:tc>
          <w:tcPr>
            <w:tcW w:w="1093" w:type="dxa"/>
            <w:tcMar>
              <w:top w:w="0" w:type="dxa"/>
              <w:left w:w="105" w:type="dxa"/>
              <w:bottom w:w="0" w:type="dxa"/>
              <w:right w:w="105" w:type="dxa"/>
            </w:tcMar>
            <w:vAlign w:val="center"/>
          </w:tcPr>
          <w:p w14:paraId="5EC0C840">
            <w:pPr>
              <w:pStyle w:val="15"/>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10分</w:t>
            </w:r>
          </w:p>
        </w:tc>
      </w:tr>
      <w:tr w14:paraId="0043C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Merge w:val="continue"/>
            <w:vAlign w:val="center"/>
          </w:tcPr>
          <w:p w14:paraId="010224B0">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p>
        </w:tc>
        <w:tc>
          <w:tcPr>
            <w:tcW w:w="2562" w:type="dxa"/>
            <w:tcMar>
              <w:top w:w="0" w:type="dxa"/>
              <w:left w:w="105" w:type="dxa"/>
              <w:bottom w:w="0" w:type="dxa"/>
              <w:right w:w="105" w:type="dxa"/>
            </w:tcMar>
            <w:vAlign w:val="center"/>
          </w:tcPr>
          <w:p w14:paraId="70455023">
            <w:pPr>
              <w:pStyle w:val="15"/>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3、食物加工制作要求</w:t>
            </w:r>
          </w:p>
        </w:tc>
        <w:tc>
          <w:tcPr>
            <w:tcW w:w="3850" w:type="dxa"/>
            <w:tcMar>
              <w:top w:w="0" w:type="dxa"/>
              <w:left w:w="105" w:type="dxa"/>
              <w:bottom w:w="0" w:type="dxa"/>
              <w:right w:w="105" w:type="dxa"/>
            </w:tcMar>
            <w:vAlign w:val="center"/>
          </w:tcPr>
          <w:p w14:paraId="7FBC2907">
            <w:pPr>
              <w:pStyle w:val="15"/>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1、对腐败变质或感官异常的原料仍加工使用，每发现一次扣3分；</w:t>
            </w:r>
          </w:p>
          <w:p w14:paraId="66AFE530">
            <w:pPr>
              <w:pStyle w:val="15"/>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2、蔬菜与肉类、水产品不分池清洗，发现一次扣1分；</w:t>
            </w:r>
          </w:p>
          <w:p w14:paraId="0AFFCA5A">
            <w:pPr>
              <w:pStyle w:val="15"/>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3、刀、墩、板、桶、盆、筐、抹布及其它工具、容器不洗净、不定位存放，每发现一次扣1分；</w:t>
            </w:r>
          </w:p>
          <w:p w14:paraId="77BC6E98">
            <w:pPr>
              <w:pStyle w:val="15"/>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4、食品不烧熟煮透，熟品与原料或半成品不分开存放，每发现一次扣2分；</w:t>
            </w:r>
          </w:p>
          <w:p w14:paraId="338C99F0">
            <w:pPr>
              <w:pStyle w:val="15"/>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5、较长时间不食用的熟品不冷藏，发现一次扣2分；</w:t>
            </w:r>
          </w:p>
          <w:p w14:paraId="7741032E">
            <w:pPr>
              <w:pStyle w:val="15"/>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6、加工凉菜的工具、容器不是专用，用前不消毒的，发现一次扣2分。</w:t>
            </w:r>
          </w:p>
        </w:tc>
        <w:tc>
          <w:tcPr>
            <w:tcW w:w="1093" w:type="dxa"/>
            <w:tcMar>
              <w:top w:w="0" w:type="dxa"/>
              <w:left w:w="105" w:type="dxa"/>
              <w:bottom w:w="0" w:type="dxa"/>
              <w:right w:w="105" w:type="dxa"/>
            </w:tcMar>
            <w:vAlign w:val="center"/>
          </w:tcPr>
          <w:p w14:paraId="78E11064">
            <w:pPr>
              <w:pStyle w:val="15"/>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10分</w:t>
            </w:r>
          </w:p>
        </w:tc>
      </w:tr>
      <w:tr w14:paraId="25735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Merge w:val="continue"/>
            <w:vAlign w:val="center"/>
          </w:tcPr>
          <w:p w14:paraId="2669F575">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p>
        </w:tc>
        <w:tc>
          <w:tcPr>
            <w:tcW w:w="2562" w:type="dxa"/>
            <w:tcMar>
              <w:top w:w="0" w:type="dxa"/>
              <w:left w:w="105" w:type="dxa"/>
              <w:bottom w:w="0" w:type="dxa"/>
              <w:right w:w="105" w:type="dxa"/>
            </w:tcMar>
            <w:vAlign w:val="center"/>
          </w:tcPr>
          <w:p w14:paraId="75462AC1">
            <w:pPr>
              <w:pStyle w:val="15"/>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4、食品配送容器卫生要求</w:t>
            </w:r>
          </w:p>
        </w:tc>
        <w:tc>
          <w:tcPr>
            <w:tcW w:w="3850" w:type="dxa"/>
            <w:tcMar>
              <w:top w:w="0" w:type="dxa"/>
              <w:left w:w="105" w:type="dxa"/>
              <w:bottom w:w="0" w:type="dxa"/>
              <w:right w:w="105" w:type="dxa"/>
            </w:tcMar>
            <w:vAlign w:val="center"/>
          </w:tcPr>
          <w:p w14:paraId="6C755EB5">
            <w:pPr>
              <w:pStyle w:val="15"/>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1、配送容器未经消毒使用的，发现一次扣2分；</w:t>
            </w:r>
          </w:p>
          <w:p w14:paraId="12A2F43D">
            <w:pPr>
              <w:pStyle w:val="15"/>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2、容器和餐具不使用专用水池或水盘清洗，发现一次扣1分；</w:t>
            </w:r>
          </w:p>
          <w:p w14:paraId="1E77FA6C">
            <w:pPr>
              <w:pStyle w:val="15"/>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3、熟食容器和半成品容器、原料容器不区分使用并做好标记的，发现一次扣1分；</w:t>
            </w:r>
          </w:p>
          <w:p w14:paraId="26D5EA98">
            <w:pPr>
              <w:pStyle w:val="15"/>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4、消毒后的容器不贮在专用保洁柜，发现一次扣1分；</w:t>
            </w:r>
          </w:p>
          <w:p w14:paraId="46A41975">
            <w:pPr>
              <w:pStyle w:val="15"/>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5、保洁柜不定期清洗、不洁净的，发现一次扣1分。</w:t>
            </w:r>
          </w:p>
        </w:tc>
        <w:tc>
          <w:tcPr>
            <w:tcW w:w="1093" w:type="dxa"/>
            <w:tcMar>
              <w:top w:w="0" w:type="dxa"/>
              <w:left w:w="105" w:type="dxa"/>
              <w:bottom w:w="0" w:type="dxa"/>
              <w:right w:w="105" w:type="dxa"/>
            </w:tcMar>
            <w:vAlign w:val="center"/>
          </w:tcPr>
          <w:p w14:paraId="7C3BEE1C">
            <w:pPr>
              <w:pStyle w:val="15"/>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10分</w:t>
            </w:r>
          </w:p>
        </w:tc>
      </w:tr>
      <w:tr w14:paraId="0E720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Merge w:val="continue"/>
            <w:vAlign w:val="center"/>
          </w:tcPr>
          <w:p w14:paraId="3AD4CF30">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p>
        </w:tc>
        <w:tc>
          <w:tcPr>
            <w:tcW w:w="2562" w:type="dxa"/>
            <w:tcMar>
              <w:top w:w="0" w:type="dxa"/>
              <w:left w:w="105" w:type="dxa"/>
              <w:bottom w:w="0" w:type="dxa"/>
              <w:right w:w="105" w:type="dxa"/>
            </w:tcMar>
            <w:vAlign w:val="center"/>
          </w:tcPr>
          <w:p w14:paraId="29EFBE6F">
            <w:pPr>
              <w:pStyle w:val="15"/>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5、加工场所保洁要求</w:t>
            </w:r>
          </w:p>
        </w:tc>
        <w:tc>
          <w:tcPr>
            <w:tcW w:w="3850" w:type="dxa"/>
            <w:tcMar>
              <w:top w:w="0" w:type="dxa"/>
              <w:left w:w="105" w:type="dxa"/>
              <w:bottom w:w="0" w:type="dxa"/>
              <w:right w:w="105" w:type="dxa"/>
            </w:tcMar>
            <w:vAlign w:val="center"/>
          </w:tcPr>
          <w:p w14:paraId="291F3EC4">
            <w:pPr>
              <w:pStyle w:val="15"/>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1、工作间不干净、整洁，发现一次扣0.5分；</w:t>
            </w:r>
          </w:p>
          <w:p w14:paraId="65961CC8">
            <w:pPr>
              <w:pStyle w:val="15"/>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2、排水沟堵塞，有积水或发臭等情况，发现一次扣1分；</w:t>
            </w:r>
          </w:p>
          <w:p w14:paraId="0557FA07">
            <w:pPr>
              <w:pStyle w:val="15"/>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3、泔水桶不加盖、废物袋不扎口，不放在上风、不远离工作间等，发现一次扣0.5分；</w:t>
            </w:r>
          </w:p>
          <w:p w14:paraId="16B3F3C8">
            <w:pPr>
              <w:pStyle w:val="15"/>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4、苍蝇、蚊子、老鼠、蟑螂等害虫到处可见，发现一次扣1分；</w:t>
            </w:r>
          </w:p>
          <w:p w14:paraId="0DE2D2FD">
            <w:pPr>
              <w:pStyle w:val="15"/>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5、乱倒垃圾和污水，发现一次扣1分。</w:t>
            </w:r>
          </w:p>
        </w:tc>
        <w:tc>
          <w:tcPr>
            <w:tcW w:w="1093" w:type="dxa"/>
            <w:tcMar>
              <w:top w:w="0" w:type="dxa"/>
              <w:left w:w="105" w:type="dxa"/>
              <w:bottom w:w="0" w:type="dxa"/>
              <w:right w:w="105" w:type="dxa"/>
            </w:tcMar>
            <w:vAlign w:val="center"/>
          </w:tcPr>
          <w:p w14:paraId="25E0E5EC">
            <w:pPr>
              <w:pStyle w:val="15"/>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5分</w:t>
            </w:r>
          </w:p>
        </w:tc>
      </w:tr>
      <w:tr w14:paraId="39B2C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Merge w:val="continue"/>
            <w:vAlign w:val="center"/>
          </w:tcPr>
          <w:p w14:paraId="0757FBBC">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p>
        </w:tc>
        <w:tc>
          <w:tcPr>
            <w:tcW w:w="2562" w:type="dxa"/>
            <w:tcMar>
              <w:top w:w="0" w:type="dxa"/>
              <w:left w:w="105" w:type="dxa"/>
              <w:bottom w:w="0" w:type="dxa"/>
              <w:right w:w="105" w:type="dxa"/>
            </w:tcMar>
            <w:vAlign w:val="center"/>
          </w:tcPr>
          <w:p w14:paraId="195D63DB">
            <w:pPr>
              <w:pStyle w:val="15"/>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6、加工设备使用要求</w:t>
            </w:r>
          </w:p>
        </w:tc>
        <w:tc>
          <w:tcPr>
            <w:tcW w:w="3850" w:type="dxa"/>
            <w:tcMar>
              <w:top w:w="0" w:type="dxa"/>
              <w:left w:w="105" w:type="dxa"/>
              <w:bottom w:w="0" w:type="dxa"/>
              <w:right w:w="105" w:type="dxa"/>
            </w:tcMar>
            <w:vAlign w:val="center"/>
          </w:tcPr>
          <w:p w14:paraId="0651BB9B">
            <w:pPr>
              <w:pStyle w:val="15"/>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没按要求及时清洗、保养加工设备的，每发现一次，扣1分。</w:t>
            </w:r>
          </w:p>
        </w:tc>
        <w:tc>
          <w:tcPr>
            <w:tcW w:w="1093" w:type="dxa"/>
            <w:tcMar>
              <w:top w:w="0" w:type="dxa"/>
              <w:left w:w="105" w:type="dxa"/>
              <w:bottom w:w="0" w:type="dxa"/>
              <w:right w:w="105" w:type="dxa"/>
            </w:tcMar>
            <w:vAlign w:val="center"/>
          </w:tcPr>
          <w:p w14:paraId="0A26D555">
            <w:pPr>
              <w:pStyle w:val="15"/>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10分</w:t>
            </w:r>
          </w:p>
        </w:tc>
      </w:tr>
      <w:tr w14:paraId="721FD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Merge w:val="continue"/>
            <w:vAlign w:val="center"/>
          </w:tcPr>
          <w:p w14:paraId="280E7778">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p>
        </w:tc>
        <w:tc>
          <w:tcPr>
            <w:tcW w:w="2562" w:type="dxa"/>
            <w:tcMar>
              <w:top w:w="0" w:type="dxa"/>
              <w:left w:w="105" w:type="dxa"/>
              <w:bottom w:w="0" w:type="dxa"/>
              <w:right w:w="105" w:type="dxa"/>
            </w:tcMar>
            <w:vAlign w:val="center"/>
          </w:tcPr>
          <w:p w14:paraId="13954764">
            <w:pPr>
              <w:pStyle w:val="15"/>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7、配餐要求</w:t>
            </w:r>
          </w:p>
        </w:tc>
        <w:tc>
          <w:tcPr>
            <w:tcW w:w="3850" w:type="dxa"/>
            <w:tcMar>
              <w:top w:w="0" w:type="dxa"/>
              <w:left w:w="105" w:type="dxa"/>
              <w:bottom w:w="0" w:type="dxa"/>
              <w:right w:w="105" w:type="dxa"/>
            </w:tcMar>
            <w:vAlign w:val="center"/>
          </w:tcPr>
          <w:p w14:paraId="3E447717">
            <w:pPr>
              <w:pStyle w:val="15"/>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不服从采购人管理要求，没在规定的时间内做好配餐工作的，每出现一次扣2分</w:t>
            </w:r>
          </w:p>
        </w:tc>
        <w:tc>
          <w:tcPr>
            <w:tcW w:w="1093" w:type="dxa"/>
            <w:tcMar>
              <w:top w:w="0" w:type="dxa"/>
              <w:left w:w="105" w:type="dxa"/>
              <w:bottom w:w="0" w:type="dxa"/>
              <w:right w:w="105" w:type="dxa"/>
            </w:tcMar>
            <w:vAlign w:val="center"/>
          </w:tcPr>
          <w:p w14:paraId="58B57E7C">
            <w:pPr>
              <w:pStyle w:val="15"/>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10分</w:t>
            </w:r>
          </w:p>
        </w:tc>
      </w:tr>
      <w:tr w14:paraId="0A341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Merge w:val="continue"/>
            <w:vAlign w:val="center"/>
          </w:tcPr>
          <w:p w14:paraId="12270EB8">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p>
        </w:tc>
        <w:tc>
          <w:tcPr>
            <w:tcW w:w="2562" w:type="dxa"/>
            <w:tcMar>
              <w:top w:w="0" w:type="dxa"/>
              <w:left w:w="105" w:type="dxa"/>
              <w:bottom w:w="0" w:type="dxa"/>
              <w:right w:w="105" w:type="dxa"/>
            </w:tcMar>
            <w:vAlign w:val="center"/>
          </w:tcPr>
          <w:p w14:paraId="12ABBD33">
            <w:pPr>
              <w:pStyle w:val="15"/>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8、物资保管要求</w:t>
            </w:r>
          </w:p>
        </w:tc>
        <w:tc>
          <w:tcPr>
            <w:tcW w:w="3850" w:type="dxa"/>
            <w:tcMar>
              <w:top w:w="0" w:type="dxa"/>
              <w:left w:w="105" w:type="dxa"/>
              <w:bottom w:w="0" w:type="dxa"/>
              <w:right w:w="105" w:type="dxa"/>
            </w:tcMar>
            <w:vAlign w:val="center"/>
          </w:tcPr>
          <w:p w14:paraId="5985F70C">
            <w:pPr>
              <w:pStyle w:val="15"/>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1、新鲜果、蔬原料存于积水、无遮阳、不通风的场地，发现一次扣1分；</w:t>
            </w:r>
          </w:p>
          <w:p w14:paraId="69D62EA0">
            <w:pPr>
              <w:pStyle w:val="15"/>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2、对腐败、霉烂原料不及时剔除，污染其它食品或原料的，发现一次扣2分；</w:t>
            </w:r>
          </w:p>
          <w:p w14:paraId="27BE9C8D">
            <w:pPr>
              <w:pStyle w:val="15"/>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3、同位置存放相互影响风味的材料的，发现一次扣1分；</w:t>
            </w:r>
          </w:p>
          <w:p w14:paraId="3572F832">
            <w:pPr>
              <w:pStyle w:val="15"/>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4、不实行原材料先进先出的，发现一次扣1分。</w:t>
            </w:r>
          </w:p>
        </w:tc>
        <w:tc>
          <w:tcPr>
            <w:tcW w:w="1093" w:type="dxa"/>
            <w:tcMar>
              <w:top w:w="0" w:type="dxa"/>
              <w:left w:w="105" w:type="dxa"/>
              <w:bottom w:w="0" w:type="dxa"/>
              <w:right w:w="105" w:type="dxa"/>
            </w:tcMar>
            <w:vAlign w:val="center"/>
          </w:tcPr>
          <w:p w14:paraId="7652CB9C">
            <w:pPr>
              <w:pStyle w:val="15"/>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10分</w:t>
            </w:r>
          </w:p>
        </w:tc>
      </w:tr>
      <w:tr w14:paraId="1D31A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tcMar>
              <w:top w:w="0" w:type="dxa"/>
              <w:left w:w="105" w:type="dxa"/>
              <w:bottom w:w="0" w:type="dxa"/>
              <w:right w:w="105" w:type="dxa"/>
            </w:tcMar>
            <w:vAlign w:val="center"/>
          </w:tcPr>
          <w:p w14:paraId="22E4E4D6">
            <w:pPr>
              <w:pStyle w:val="15"/>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其它</w:t>
            </w:r>
          </w:p>
        </w:tc>
        <w:tc>
          <w:tcPr>
            <w:tcW w:w="2562" w:type="dxa"/>
            <w:tcMar>
              <w:top w:w="0" w:type="dxa"/>
              <w:left w:w="105" w:type="dxa"/>
              <w:bottom w:w="0" w:type="dxa"/>
              <w:right w:w="105" w:type="dxa"/>
            </w:tcMar>
            <w:vAlign w:val="center"/>
          </w:tcPr>
          <w:p w14:paraId="4A31D9EE">
            <w:pPr>
              <w:pStyle w:val="15"/>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p>
        </w:tc>
        <w:tc>
          <w:tcPr>
            <w:tcW w:w="3850" w:type="dxa"/>
            <w:tcMar>
              <w:top w:w="0" w:type="dxa"/>
              <w:left w:w="105" w:type="dxa"/>
              <w:bottom w:w="0" w:type="dxa"/>
              <w:right w:w="105" w:type="dxa"/>
            </w:tcMar>
            <w:vAlign w:val="center"/>
          </w:tcPr>
          <w:p w14:paraId="7D0E4970">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p>
        </w:tc>
        <w:tc>
          <w:tcPr>
            <w:tcW w:w="1093" w:type="dxa"/>
            <w:tcMar>
              <w:top w:w="0" w:type="dxa"/>
              <w:left w:w="105" w:type="dxa"/>
              <w:bottom w:w="0" w:type="dxa"/>
              <w:right w:w="105" w:type="dxa"/>
            </w:tcMar>
            <w:vAlign w:val="center"/>
          </w:tcPr>
          <w:p w14:paraId="60C71A67">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p>
        </w:tc>
      </w:tr>
      <w:tr w14:paraId="13BDB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82" w:type="dxa"/>
            <w:gridSpan w:val="2"/>
            <w:tcMar>
              <w:top w:w="0" w:type="dxa"/>
              <w:left w:w="105" w:type="dxa"/>
              <w:bottom w:w="0" w:type="dxa"/>
              <w:right w:w="105" w:type="dxa"/>
            </w:tcMar>
            <w:vAlign w:val="center"/>
          </w:tcPr>
          <w:p w14:paraId="7B621345">
            <w:pPr>
              <w:pStyle w:val="15"/>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总得分</w:t>
            </w:r>
          </w:p>
        </w:tc>
        <w:tc>
          <w:tcPr>
            <w:tcW w:w="4943" w:type="dxa"/>
            <w:gridSpan w:val="2"/>
            <w:tcMar>
              <w:top w:w="0" w:type="dxa"/>
              <w:left w:w="105" w:type="dxa"/>
              <w:bottom w:w="0" w:type="dxa"/>
              <w:right w:w="105" w:type="dxa"/>
            </w:tcMar>
            <w:vAlign w:val="center"/>
          </w:tcPr>
          <w:p w14:paraId="55600FE4">
            <w:pPr>
              <w:pStyle w:val="15"/>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p>
        </w:tc>
      </w:tr>
      <w:tr w14:paraId="4B610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82" w:type="dxa"/>
            <w:gridSpan w:val="2"/>
            <w:tcMar>
              <w:top w:w="0" w:type="dxa"/>
              <w:left w:w="105" w:type="dxa"/>
              <w:bottom w:w="0" w:type="dxa"/>
              <w:right w:w="105" w:type="dxa"/>
            </w:tcMar>
            <w:vAlign w:val="center"/>
          </w:tcPr>
          <w:p w14:paraId="19A2E37C">
            <w:pPr>
              <w:pStyle w:val="15"/>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考核小组签名</w:t>
            </w:r>
          </w:p>
        </w:tc>
        <w:tc>
          <w:tcPr>
            <w:tcW w:w="4943" w:type="dxa"/>
            <w:gridSpan w:val="2"/>
            <w:tcMar>
              <w:top w:w="0" w:type="dxa"/>
              <w:left w:w="105" w:type="dxa"/>
              <w:bottom w:w="0" w:type="dxa"/>
              <w:right w:w="105" w:type="dxa"/>
            </w:tcMar>
            <w:vAlign w:val="center"/>
          </w:tcPr>
          <w:p w14:paraId="48D56BCD">
            <w:pPr>
              <w:pStyle w:val="15"/>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p>
        </w:tc>
      </w:tr>
      <w:tr w14:paraId="48199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82" w:type="dxa"/>
            <w:gridSpan w:val="2"/>
            <w:tcMar>
              <w:top w:w="0" w:type="dxa"/>
              <w:left w:w="105" w:type="dxa"/>
              <w:bottom w:w="0" w:type="dxa"/>
              <w:right w:w="105" w:type="dxa"/>
            </w:tcMar>
            <w:vAlign w:val="center"/>
          </w:tcPr>
          <w:p w14:paraId="0661ABE4">
            <w:pPr>
              <w:pStyle w:val="15"/>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被考核人（或代表人）签名</w:t>
            </w:r>
          </w:p>
        </w:tc>
        <w:tc>
          <w:tcPr>
            <w:tcW w:w="4943" w:type="dxa"/>
            <w:gridSpan w:val="2"/>
            <w:tcMar>
              <w:top w:w="0" w:type="dxa"/>
              <w:left w:w="105" w:type="dxa"/>
              <w:bottom w:w="0" w:type="dxa"/>
              <w:right w:w="105" w:type="dxa"/>
            </w:tcMar>
            <w:vAlign w:val="center"/>
          </w:tcPr>
          <w:p w14:paraId="6548B94A">
            <w:pPr>
              <w:pStyle w:val="15"/>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p>
        </w:tc>
      </w:tr>
    </w:tbl>
    <w:p w14:paraId="674DC746">
      <w:pPr>
        <w:pStyle w:val="15"/>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b/>
          <w:color w:val="auto"/>
          <w:sz w:val="20"/>
          <w:szCs w:val="20"/>
          <w:highlight w:val="none"/>
        </w:rPr>
      </w:pPr>
    </w:p>
    <w:p w14:paraId="1DF6D933">
      <w:pPr>
        <w:rPr>
          <w:rFonts w:hint="eastAsia" w:ascii="宋体" w:hAnsi="宋体" w:eastAsia="宋体" w:cs="宋体"/>
          <w:b/>
          <w:color w:val="auto"/>
          <w:sz w:val="20"/>
          <w:szCs w:val="20"/>
          <w:highlight w:val="none"/>
        </w:rPr>
      </w:pPr>
      <w:r>
        <w:rPr>
          <w:rFonts w:hint="eastAsia" w:ascii="宋体" w:hAnsi="宋体" w:eastAsia="宋体" w:cs="宋体"/>
          <w:b/>
          <w:color w:val="auto"/>
          <w:sz w:val="20"/>
          <w:szCs w:val="20"/>
          <w:highlight w:val="none"/>
        </w:rPr>
        <w:br w:type="page"/>
      </w:r>
    </w:p>
    <w:p w14:paraId="1ADEDC52">
      <w:pPr>
        <w:pStyle w:val="15"/>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附件：2.《食品安全承诺书》</w:t>
      </w:r>
    </w:p>
    <w:p w14:paraId="4068CAAF">
      <w:pPr>
        <w:pStyle w:val="15"/>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《食品安全承诺书》</w:t>
      </w:r>
    </w:p>
    <w:p w14:paraId="6DBE85AD">
      <w:pPr>
        <w:pStyle w:val="15"/>
        <w:keepNext w:val="0"/>
        <w:keepLines w:val="0"/>
        <w:pageBreakBefore w:val="0"/>
        <w:kinsoku/>
        <w:wordWrap/>
        <w:overflowPunct/>
        <w:topLinePunct w:val="0"/>
        <w:autoSpaceDE/>
        <w:autoSpaceDN/>
        <w:bidi w:val="0"/>
        <w:adjustRightInd/>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为进一步做好食堂食品安全管理工作，维护饮食安全，预防食品安全不良事件的发生，我单位为食品安全工作郑重承诺如下：</w:t>
      </w:r>
    </w:p>
    <w:p w14:paraId="45AE9BA1">
      <w:pPr>
        <w:pStyle w:val="15"/>
        <w:keepNext w:val="0"/>
        <w:keepLines w:val="0"/>
        <w:pageBreakBefore w:val="0"/>
        <w:kinsoku/>
        <w:wordWrap/>
        <w:overflowPunct/>
        <w:topLinePunct w:val="0"/>
        <w:autoSpaceDE/>
        <w:autoSpaceDN/>
        <w:bidi w:val="0"/>
        <w:adjustRightInd/>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一、按照《食品安全法》的规定，认真履行食品安全“第一责任人”义务，对本单位食品安全负全责。</w:t>
      </w:r>
    </w:p>
    <w:p w14:paraId="14A6D37C">
      <w:pPr>
        <w:pStyle w:val="15"/>
        <w:keepNext w:val="0"/>
        <w:keepLines w:val="0"/>
        <w:pageBreakBefore w:val="0"/>
        <w:kinsoku/>
        <w:wordWrap/>
        <w:overflowPunct/>
        <w:topLinePunct w:val="0"/>
        <w:autoSpaceDE/>
        <w:autoSpaceDN/>
        <w:bidi w:val="0"/>
        <w:adjustRightInd/>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二、依法建立健全食品安全管理组织，设立专职食品安全管理员；制定和完善各环节食品安全制度，做到制度上墙，要求从业人员熟知并严格执行，经常开展自律性检查。</w:t>
      </w:r>
    </w:p>
    <w:p w14:paraId="39460941">
      <w:pPr>
        <w:pStyle w:val="15"/>
        <w:keepNext w:val="0"/>
        <w:keepLines w:val="0"/>
        <w:pageBreakBefore w:val="0"/>
        <w:kinsoku/>
        <w:wordWrap/>
        <w:overflowPunct/>
        <w:topLinePunct w:val="0"/>
        <w:autoSpaceDE/>
        <w:autoSpaceDN/>
        <w:bidi w:val="0"/>
        <w:adjustRightInd/>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三、依法建立并执行从业人员健康检查制度和健康档案制度。杜绝患有《食品安全法》规定不得从事接触直接入口食品工作的疾病的从业人员从事接触直接入口食品工作。</w:t>
      </w:r>
    </w:p>
    <w:p w14:paraId="7F40D9FE">
      <w:pPr>
        <w:pStyle w:val="15"/>
        <w:keepNext w:val="0"/>
        <w:keepLines w:val="0"/>
        <w:pageBreakBefore w:val="0"/>
        <w:kinsoku/>
        <w:wordWrap/>
        <w:overflowPunct/>
        <w:topLinePunct w:val="0"/>
        <w:autoSpaceDE/>
        <w:autoSpaceDN/>
        <w:bidi w:val="0"/>
        <w:adjustRightInd/>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四、依法组织职工参加食品安全培训，并建立培训档案。坚决不使用不合格食品（原料）或有毒有害物质加工食品，不超范围、超剂量滥用食品添加剂。</w:t>
      </w:r>
    </w:p>
    <w:p w14:paraId="0442DCFC">
      <w:pPr>
        <w:pStyle w:val="15"/>
        <w:keepNext w:val="0"/>
        <w:keepLines w:val="0"/>
        <w:pageBreakBefore w:val="0"/>
        <w:kinsoku/>
        <w:wordWrap/>
        <w:overflowPunct/>
        <w:topLinePunct w:val="0"/>
        <w:autoSpaceDE/>
        <w:autoSpaceDN/>
        <w:bidi w:val="0"/>
        <w:adjustRightInd/>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五、依法设置与食品供应方式和品种相适应的粗加工、切配、烹饪、点心制作、餐用具清洗消毒、备餐等加工操作场所，以及食品贮存、更衣等场所。保持加工经营场所内外环境场所，以及食品贮存、更衣等场所。保持加工经营场所内外环境整洁，完善五防措施。</w:t>
      </w:r>
    </w:p>
    <w:p w14:paraId="1FB97F64">
      <w:pPr>
        <w:pStyle w:val="15"/>
        <w:keepNext w:val="0"/>
        <w:keepLines w:val="0"/>
        <w:pageBreakBefore w:val="0"/>
        <w:kinsoku/>
        <w:wordWrap/>
        <w:overflowPunct/>
        <w:topLinePunct w:val="0"/>
        <w:autoSpaceDE/>
        <w:autoSpaceDN/>
        <w:bidi w:val="0"/>
        <w:adjustRightInd/>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六、依法定期维护食品加工、贮存、陈列等设施、设备；定期清洗、校验保温设施及冷藏、冷冻设施。</w:t>
      </w:r>
    </w:p>
    <w:p w14:paraId="2B46F182">
      <w:pPr>
        <w:pStyle w:val="15"/>
        <w:keepNext w:val="0"/>
        <w:keepLines w:val="0"/>
        <w:pageBreakBefore w:val="0"/>
        <w:kinsoku/>
        <w:wordWrap/>
        <w:overflowPunct/>
        <w:topLinePunct w:val="0"/>
        <w:autoSpaceDE/>
        <w:autoSpaceDN/>
        <w:bidi w:val="0"/>
        <w:adjustRightInd/>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七、依法建立健全食品原料进货检查验收和索证索票制度，认真查验供货商的经营资格、产品合格证明、产品标识和食品及原料质量是否符合法定要求，严把食品原料进货质量关。</w:t>
      </w:r>
    </w:p>
    <w:p w14:paraId="5A0996B6">
      <w:pPr>
        <w:pStyle w:val="15"/>
        <w:keepNext w:val="0"/>
        <w:keepLines w:val="0"/>
        <w:pageBreakBefore w:val="0"/>
        <w:kinsoku/>
        <w:wordWrap/>
        <w:overflowPunct/>
        <w:topLinePunct w:val="0"/>
        <w:autoSpaceDE/>
        <w:autoSpaceDN/>
        <w:bidi w:val="0"/>
        <w:adjustRightInd/>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八、依法建立健全食品、原料进货台账制度，如实记录、保存食品、原料购进的各种信息和数据，保证本单位食品、原料购进的可追溯性、真实性，以防范和控制食品安全风险。</w:t>
      </w:r>
    </w:p>
    <w:p w14:paraId="5311749C">
      <w:pPr>
        <w:pStyle w:val="15"/>
        <w:keepNext w:val="0"/>
        <w:keepLines w:val="0"/>
        <w:pageBreakBefore w:val="0"/>
        <w:kinsoku/>
        <w:wordWrap/>
        <w:overflowPunct/>
        <w:topLinePunct w:val="0"/>
        <w:autoSpaceDE/>
        <w:autoSpaceDN/>
        <w:bidi w:val="0"/>
        <w:adjustRightInd/>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九、建立健全并落实食品安全的日常管理措施，及时发现食品原料的质量安全隐患，不供不符合法定要求的食品、过期食品、变质食品和存在安全隐患的食品。发现问题食品立即停止供应并及时向食品药品监督管理部门报告。</w:t>
      </w:r>
    </w:p>
    <w:p w14:paraId="16249034">
      <w:pPr>
        <w:pStyle w:val="15"/>
        <w:keepNext w:val="0"/>
        <w:keepLines w:val="0"/>
        <w:pageBreakBefore w:val="0"/>
        <w:kinsoku/>
        <w:wordWrap/>
        <w:overflowPunct/>
        <w:topLinePunct w:val="0"/>
        <w:autoSpaceDE/>
        <w:autoSpaceDN/>
        <w:bidi w:val="0"/>
        <w:adjustRightInd/>
        <w:snapToGrid w:val="0"/>
        <w:spacing w:line="360" w:lineRule="auto"/>
        <w:ind w:firstLine="440"/>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十、自觉制作公示监督举报电话。自觉接受食品安全职能部门监督检查，提高服务质量，规范经营行为；积极配合市食品药品监督部门开展量化分级管理，并定期公示量化分级结果；提高管理水平，努力营造食堂食品安全环境。</w:t>
      </w:r>
    </w:p>
    <w:p w14:paraId="799E8A36">
      <w:pPr>
        <w:pStyle w:val="15"/>
        <w:keepNext w:val="0"/>
        <w:keepLines w:val="0"/>
        <w:pageBreakBefore w:val="0"/>
        <w:kinsoku/>
        <w:wordWrap/>
        <w:overflowPunct/>
        <w:topLinePunct w:val="0"/>
        <w:autoSpaceDE/>
        <w:autoSpaceDN/>
        <w:bidi w:val="0"/>
        <w:adjustRightInd/>
        <w:snapToGrid w:val="0"/>
        <w:spacing w:line="360" w:lineRule="auto"/>
        <w:ind w:firstLine="5000" w:firstLineChars="250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承诺单位：</w:t>
      </w:r>
    </w:p>
    <w:p w14:paraId="1F679DA0">
      <w:pPr>
        <w:pStyle w:val="15"/>
        <w:keepNext w:val="0"/>
        <w:keepLines w:val="0"/>
        <w:pageBreakBefore w:val="0"/>
        <w:kinsoku/>
        <w:wordWrap/>
        <w:overflowPunct/>
        <w:topLinePunct w:val="0"/>
        <w:autoSpaceDE/>
        <w:autoSpaceDN/>
        <w:bidi w:val="0"/>
        <w:adjustRightInd/>
        <w:snapToGrid w:val="0"/>
        <w:spacing w:line="360" w:lineRule="auto"/>
        <w:ind w:firstLine="5000" w:firstLineChars="250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承诺日期：</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年</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月</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日</w:t>
      </w:r>
    </w:p>
    <w:p w14:paraId="6B778360">
      <w:pPr>
        <w:rPr>
          <w:rFonts w:hint="eastAsia" w:ascii="宋体" w:hAnsi="宋体" w:eastAsia="宋体" w:cs="宋体"/>
          <w:color w:val="auto"/>
          <w:highlight w:val="none"/>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F52E2E2B-C460-435E-B8C1-F817D3489227}"/>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638F11">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C0E61D">
                          <w:pPr>
                            <w:pStyle w:val="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1C0E61D">
                    <w:pPr>
                      <w:pStyle w:val="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13</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FjMzhkZTNmZjYxZDM3ZTI3Y2U4MTU5MzRiOTg1MWQifQ=="/>
  </w:docVars>
  <w:rsids>
    <w:rsidRoot w:val="38A7204F"/>
    <w:rsid w:val="1495612A"/>
    <w:rsid w:val="1E41494A"/>
    <w:rsid w:val="206C7632"/>
    <w:rsid w:val="21CA05E9"/>
    <w:rsid w:val="27D23FF8"/>
    <w:rsid w:val="294721EB"/>
    <w:rsid w:val="340D03F4"/>
    <w:rsid w:val="38A7204F"/>
    <w:rsid w:val="38A909A6"/>
    <w:rsid w:val="48A203D1"/>
    <w:rsid w:val="4C6368F8"/>
    <w:rsid w:val="58A77AFF"/>
    <w:rsid w:val="67707C4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9"/>
    <w:pPr>
      <w:autoSpaceDE w:val="0"/>
      <w:autoSpaceDN w:val="0"/>
      <w:spacing w:before="48"/>
      <w:ind w:left="3375" w:right="3442"/>
      <w:jc w:val="center"/>
      <w:outlineLvl w:val="0"/>
    </w:pPr>
    <w:rPr>
      <w:rFonts w:ascii="宋体" w:hAnsi="宋体" w:eastAsia="宋体" w:cs="宋体"/>
      <w:b/>
      <w:bCs/>
      <w:kern w:val="0"/>
      <w:szCs w:val="21"/>
    </w:rPr>
  </w:style>
  <w:style w:type="paragraph" w:styleId="2">
    <w:name w:val="heading 3"/>
    <w:basedOn w:val="1"/>
    <w:next w:val="1"/>
    <w:qFormat/>
    <w:uiPriority w:val="0"/>
    <w:pPr>
      <w:keepNext/>
      <w:outlineLvl w:val="2"/>
    </w:pPr>
    <w:rPr>
      <w:rFonts w:ascii="楷体_GB2312" w:hAnsi="宋体" w:eastAsia="黑体"/>
      <w:b/>
      <w:bCs/>
      <w:sz w:val="32"/>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Body Text"/>
    <w:basedOn w:val="1"/>
    <w:next w:val="1"/>
    <w:qFormat/>
    <w:uiPriority w:val="1"/>
    <w:pPr>
      <w:autoSpaceDE w:val="0"/>
      <w:autoSpaceDN w:val="0"/>
      <w:ind w:left="490"/>
      <w:jc w:val="left"/>
    </w:pPr>
    <w:rPr>
      <w:rFonts w:ascii="宋体" w:hAnsi="宋体" w:eastAsia="宋体" w:cs="宋体"/>
      <w:kern w:val="0"/>
      <w:sz w:val="19"/>
      <w:szCs w:val="19"/>
    </w:rPr>
  </w:style>
  <w:style w:type="paragraph" w:styleId="5">
    <w:name w:val="Body Text Indent"/>
    <w:basedOn w:val="1"/>
    <w:next w:val="1"/>
    <w:unhideWhenUsed/>
    <w:qFormat/>
    <w:uiPriority w:val="99"/>
    <w:pPr>
      <w:spacing w:after="120"/>
      <w:ind w:left="420" w:leftChars="2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Body Text First Indent"/>
    <w:basedOn w:val="4"/>
    <w:next w:val="9"/>
    <w:qFormat/>
    <w:uiPriority w:val="0"/>
    <w:pPr>
      <w:widowControl w:val="0"/>
      <w:ind w:firstLine="420" w:firstLineChars="100"/>
      <w:jc w:val="both"/>
    </w:pPr>
    <w:rPr>
      <w:rFonts w:ascii="Tahoma" w:hAnsi="Tahoma" w:eastAsia="宋体" w:cs="Times New Roman"/>
      <w:kern w:val="2"/>
    </w:rPr>
  </w:style>
  <w:style w:type="paragraph" w:customStyle="1" w:styleId="9">
    <w:name w:val="样式 正文首行缩进 + 首行缩进:  1 字符"/>
    <w:basedOn w:val="1"/>
    <w:next w:val="1"/>
    <w:qFormat/>
    <w:uiPriority w:val="0"/>
    <w:pPr>
      <w:spacing w:line="360" w:lineRule="auto"/>
      <w:ind w:firstLine="200" w:firstLineChars="200"/>
    </w:pPr>
    <w:rPr>
      <w:rFonts w:cs="宋体"/>
      <w:sz w:val="24"/>
      <w:szCs w:val="20"/>
    </w:rPr>
  </w:style>
  <w:style w:type="paragraph" w:styleId="10">
    <w:name w:val="Body Text First Indent 2"/>
    <w:basedOn w:val="5"/>
    <w:unhideWhenUsed/>
    <w:qFormat/>
    <w:uiPriority w:val="99"/>
    <w:pPr>
      <w:ind w:firstLine="420" w:firstLineChars="200"/>
    </w:pPr>
  </w:style>
  <w:style w:type="table" w:styleId="12">
    <w:name w:val="Table Grid"/>
    <w:basedOn w:val="1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annotation reference"/>
    <w:basedOn w:val="13"/>
    <w:semiHidden/>
    <w:unhideWhenUsed/>
    <w:qFormat/>
    <w:uiPriority w:val="99"/>
    <w:rPr>
      <w:sz w:val="21"/>
      <w:szCs w:val="21"/>
    </w:rPr>
  </w:style>
  <w:style w:type="paragraph" w:customStyle="1" w:styleId="15">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3153</Words>
  <Characters>3306</Characters>
  <Lines>0</Lines>
  <Paragraphs>0</Paragraphs>
  <TotalTime>0</TotalTime>
  <ScaleCrop>false</ScaleCrop>
  <LinksUpToDate>false</LinksUpToDate>
  <CharactersWithSpaces>3327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2023-11-17T01:15:00Z</dcterms:created>
  <dc:creator>和盛-刘晓健</dc:creator>
  <cp:lastModifiedBy>HSDG</cp:lastModifiedBy>
  <dcterms:modified xsi:type="dcterms:W3CDTF">2025-10-11T02:39:17Z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00CDFD45663C423095B7A86AD9C96A29_13</vt:lpwstr>
  </property>
  <property fmtid="{D5CDD505-2E9C-101B-9397-08002B2CF9AE}" pid="4" name="KSOTemplateDocerSaveRecord">
    <vt:lpwstr>eyJoZGlkIjoiOGFjMzhkZTNmZjYxZDM3ZTI3Y2U4MTU5MzRiOTg1MWQiLCJ1c2VySWQiOiIyMDA5Mzc1MjYifQ==</vt:lpwstr>
  </property>
</Properties>
</file>