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6AB42">
      <w:pPr>
        <w:spacing w:line="600" w:lineRule="exact"/>
        <w:jc w:val="both"/>
        <w:rPr>
          <w:rFonts w:hint="eastAsia" w:ascii="方正小标宋简体" w:eastAsia="方正小标宋简体"/>
          <w:sz w:val="44"/>
          <w:szCs w:val="44"/>
        </w:rPr>
      </w:pPr>
      <w:r>
        <w:rPr>
          <w:rFonts w:hint="eastAsia" w:ascii="方正小标宋简体" w:eastAsia="方正小标宋简体"/>
          <w:sz w:val="44"/>
          <w:szCs w:val="44"/>
        </w:rPr>
        <w:t>附件2</w:t>
      </w:r>
      <w:r>
        <w:rPr>
          <w:rFonts w:hint="eastAsia" w:ascii="方正小标宋简体" w:eastAsia="方正小标宋简体"/>
          <w:sz w:val="44"/>
          <w:szCs w:val="44"/>
          <w:lang w:eastAsia="zh-CN"/>
        </w:rPr>
        <w:t>：</w:t>
      </w:r>
      <w:r>
        <w:rPr>
          <w:rFonts w:hint="eastAsia" w:ascii="方正小标宋简体" w:eastAsia="方正小标宋简体"/>
          <w:sz w:val="44"/>
          <w:szCs w:val="44"/>
        </w:rPr>
        <w:t>报价函格式</w:t>
      </w:r>
    </w:p>
    <w:p w14:paraId="73CBA875">
      <w:pPr>
        <w:spacing w:line="600" w:lineRule="exact"/>
        <w:jc w:val="center"/>
        <w:rPr>
          <w:rFonts w:hint="eastAsia" w:ascii="方正小标宋简体" w:eastAsia="方正小标宋简体"/>
          <w:sz w:val="44"/>
          <w:szCs w:val="44"/>
        </w:rPr>
      </w:pPr>
    </w:p>
    <w:p w14:paraId="14F0A629">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报 价 函</w:t>
      </w:r>
      <w:bookmarkStart w:id="0" w:name="_GoBack"/>
      <w:bookmarkEnd w:id="0"/>
    </w:p>
    <w:p w14:paraId="4C363D74">
      <w:pPr>
        <w:spacing w:line="400" w:lineRule="exact"/>
        <w:rPr>
          <w:rFonts w:hint="eastAsia"/>
          <w:sz w:val="32"/>
          <w:szCs w:val="32"/>
        </w:rPr>
      </w:pPr>
    </w:p>
    <w:p w14:paraId="63C8EEFD">
      <w:pPr>
        <w:spacing w:line="600" w:lineRule="exact"/>
        <w:rPr>
          <w:rFonts w:hint="eastAsia" w:eastAsia="仿宋_GB2312"/>
          <w:sz w:val="32"/>
          <w:szCs w:val="32"/>
        </w:rPr>
      </w:pPr>
      <w:r>
        <w:rPr>
          <w:rFonts w:hint="eastAsia" w:eastAsia="仿宋_GB2312"/>
          <w:sz w:val="32"/>
          <w:szCs w:val="32"/>
        </w:rPr>
        <w:t>东莞市粤龙集团有限公司：</w:t>
      </w:r>
    </w:p>
    <w:p w14:paraId="15BD9629">
      <w:pPr>
        <w:spacing w:line="600" w:lineRule="exact"/>
        <w:ind w:firstLine="640"/>
        <w:rPr>
          <w:rFonts w:hint="eastAsia" w:eastAsia="仿宋_GB2312"/>
          <w:sz w:val="32"/>
          <w:szCs w:val="32"/>
        </w:rPr>
      </w:pPr>
      <w:r>
        <w:rPr>
          <w:rFonts w:hint="eastAsia" w:eastAsia="仿宋_GB2312"/>
          <w:sz w:val="32"/>
          <w:szCs w:val="32"/>
        </w:rPr>
        <w:t>我方已完全理解《</w:t>
      </w:r>
      <w:r>
        <w:rPr>
          <w:rFonts w:hint="eastAsia" w:eastAsia="仿宋_GB2312"/>
          <w:sz w:val="32"/>
          <w:szCs w:val="32"/>
          <w:lang w:val="en-US" w:eastAsia="zh-CN"/>
        </w:rPr>
        <w:t>2025年</w:t>
      </w:r>
      <w:r>
        <w:rPr>
          <w:rFonts w:hint="eastAsia" w:eastAsia="仿宋_GB2312"/>
          <w:sz w:val="32"/>
          <w:szCs w:val="32"/>
        </w:rPr>
        <w:t>东莞市粤龙集团中长期发展战略规划咨询服务项目</w:t>
      </w:r>
      <w:r>
        <w:rPr>
          <w:rFonts w:hint="eastAsia" w:eastAsia="仿宋_GB2312"/>
          <w:sz w:val="32"/>
          <w:szCs w:val="32"/>
          <w:lang w:val="en-US" w:eastAsia="zh-CN"/>
        </w:rPr>
        <w:t>需求书</w:t>
      </w:r>
      <w:r>
        <w:rPr>
          <w:rFonts w:hint="eastAsia" w:eastAsia="仿宋_GB2312"/>
          <w:sz w:val="32"/>
          <w:szCs w:val="32"/>
        </w:rPr>
        <w:t>》的所有需求，现报价如下：</w:t>
      </w:r>
    </w:p>
    <w:tbl>
      <w:tblPr>
        <w:tblStyle w:val="9"/>
        <w:tblpPr w:leftFromText="180" w:rightFromText="180" w:vertAnchor="text" w:horzAnchor="page" w:tblpX="1567" w:tblpY="826"/>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080"/>
        <w:gridCol w:w="3759"/>
        <w:gridCol w:w="2265"/>
        <w:gridCol w:w="1115"/>
      </w:tblGrid>
      <w:tr w14:paraId="5F75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405" w:type="pct"/>
            <w:noWrap/>
            <w:vAlign w:val="center"/>
          </w:tcPr>
          <w:p w14:paraId="32EFCAB1">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604" w:type="pct"/>
            <w:noWrap w:val="0"/>
            <w:vAlign w:val="center"/>
          </w:tcPr>
          <w:p w14:paraId="586F553C">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lang w:val="en-US" w:eastAsia="zh-CN"/>
              </w:rPr>
              <w:t>类</w:t>
            </w:r>
            <w:r>
              <w:rPr>
                <w:rFonts w:hint="eastAsia" w:ascii="仿宋" w:hAnsi="仿宋" w:eastAsia="仿宋" w:cs="仿宋"/>
                <w:b/>
                <w:bCs/>
                <w:color w:val="000000"/>
                <w:kern w:val="0"/>
                <w:sz w:val="24"/>
              </w:rPr>
              <w:t>目</w:t>
            </w:r>
          </w:p>
        </w:tc>
        <w:tc>
          <w:tcPr>
            <w:tcW w:w="2101" w:type="pct"/>
            <w:noWrap w:val="0"/>
            <w:vAlign w:val="center"/>
          </w:tcPr>
          <w:p w14:paraId="4EC175D0">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lang w:val="en-US" w:eastAsia="zh-CN"/>
              </w:rPr>
              <w:t>需求</w:t>
            </w:r>
            <w:r>
              <w:rPr>
                <w:rFonts w:hint="eastAsia" w:ascii="仿宋" w:hAnsi="仿宋" w:eastAsia="仿宋" w:cs="仿宋"/>
                <w:b/>
                <w:bCs/>
                <w:color w:val="000000"/>
                <w:kern w:val="0"/>
                <w:sz w:val="24"/>
              </w:rPr>
              <w:t>内容</w:t>
            </w:r>
          </w:p>
        </w:tc>
        <w:tc>
          <w:tcPr>
            <w:tcW w:w="1265" w:type="pct"/>
            <w:noWrap w:val="0"/>
            <w:vAlign w:val="center"/>
          </w:tcPr>
          <w:p w14:paraId="673B72C7">
            <w:pPr>
              <w:widowControl/>
              <w:jc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rPr>
              <w:t>交付</w:t>
            </w:r>
            <w:r>
              <w:rPr>
                <w:rFonts w:hint="eastAsia" w:ascii="仿宋" w:hAnsi="仿宋" w:eastAsia="仿宋" w:cs="仿宋"/>
                <w:b/>
                <w:bCs/>
                <w:color w:val="000000"/>
                <w:kern w:val="0"/>
                <w:sz w:val="24"/>
                <w:lang w:val="en-US" w:eastAsia="zh-CN"/>
              </w:rPr>
              <w:t>成果要求</w:t>
            </w:r>
          </w:p>
        </w:tc>
        <w:tc>
          <w:tcPr>
            <w:tcW w:w="623" w:type="pct"/>
            <w:noWrap w:val="0"/>
            <w:vAlign w:val="center"/>
          </w:tcPr>
          <w:p w14:paraId="2747E745">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lang w:val="en-US" w:eastAsia="zh-CN"/>
              </w:rPr>
              <w:t>报价</w:t>
            </w:r>
            <w:r>
              <w:rPr>
                <w:rFonts w:hint="eastAsia" w:ascii="仿宋" w:hAnsi="仿宋" w:eastAsia="仿宋" w:cs="仿宋"/>
                <w:b/>
                <w:bCs/>
                <w:color w:val="000000"/>
                <w:kern w:val="0"/>
                <w:sz w:val="24"/>
              </w:rPr>
              <w:t>（元）</w:t>
            </w:r>
          </w:p>
        </w:tc>
      </w:tr>
      <w:tr w14:paraId="76CB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05" w:type="pct"/>
            <w:noWrap w:val="0"/>
            <w:vAlign w:val="center"/>
          </w:tcPr>
          <w:p w14:paraId="660A2A08">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c>
          <w:tcPr>
            <w:tcW w:w="604" w:type="pct"/>
            <w:noWrap w:val="0"/>
            <w:vAlign w:val="center"/>
          </w:tcPr>
          <w:p w14:paraId="43057D49">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调研诊断</w:t>
            </w:r>
          </w:p>
        </w:tc>
        <w:tc>
          <w:tcPr>
            <w:tcW w:w="2101" w:type="pct"/>
            <w:noWrap w:val="0"/>
            <w:vAlign w:val="center"/>
          </w:tcPr>
          <w:p w14:paraId="010C0228">
            <w:pPr>
              <w:widowControl/>
              <w:jc w:val="left"/>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1.</w:t>
            </w:r>
            <w:r>
              <w:rPr>
                <w:rFonts w:hint="eastAsia" w:ascii="仿宋" w:hAnsi="仿宋" w:eastAsia="仿宋" w:cs="仿宋"/>
                <w:color w:val="000000"/>
                <w:kern w:val="0"/>
                <w:sz w:val="24"/>
              </w:rPr>
              <w:t>收集整理公司内部相关资料并开展分析，梳理及公司发展现状</w:t>
            </w:r>
            <w:r>
              <w:rPr>
                <w:rFonts w:hint="eastAsia" w:ascii="仿宋" w:hAnsi="仿宋" w:eastAsia="仿宋" w:cs="仿宋"/>
                <w:color w:val="000000"/>
                <w:kern w:val="0"/>
                <w:sz w:val="24"/>
                <w:lang w:eastAsia="zh-CN"/>
              </w:rPr>
              <w:t>；</w:t>
            </w:r>
          </w:p>
          <w:p w14:paraId="2C63C163">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2.</w:t>
            </w:r>
            <w:r>
              <w:rPr>
                <w:rFonts w:hint="eastAsia" w:ascii="仿宋" w:hAnsi="仿宋" w:eastAsia="仿宋" w:cs="仿宋"/>
                <w:color w:val="000000"/>
                <w:kern w:val="0"/>
                <w:sz w:val="24"/>
              </w:rPr>
              <w:t>研究分析</w:t>
            </w:r>
            <w:r>
              <w:rPr>
                <w:rFonts w:hint="eastAsia" w:ascii="仿宋" w:hAnsi="仿宋" w:eastAsia="仿宋" w:cs="仿宋"/>
                <w:color w:val="000000"/>
                <w:kern w:val="0"/>
                <w:sz w:val="24"/>
                <w:lang w:val="en-US" w:eastAsia="zh-CN"/>
              </w:rPr>
              <w:t>上级单位要求、</w:t>
            </w:r>
            <w:r>
              <w:rPr>
                <w:rFonts w:hint="eastAsia" w:ascii="仿宋" w:hAnsi="仿宋" w:eastAsia="仿宋" w:cs="仿宋"/>
                <w:color w:val="000000"/>
                <w:kern w:val="0"/>
                <w:sz w:val="24"/>
              </w:rPr>
              <w:t>政策、行业发展</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城市环境</w:t>
            </w:r>
            <w:r>
              <w:rPr>
                <w:rFonts w:hint="eastAsia" w:ascii="仿宋" w:hAnsi="仿宋" w:eastAsia="仿宋" w:cs="仿宋"/>
                <w:color w:val="000000"/>
                <w:kern w:val="0"/>
                <w:sz w:val="24"/>
              </w:rPr>
              <w:t>等外部</w:t>
            </w:r>
            <w:r>
              <w:rPr>
                <w:rFonts w:hint="eastAsia" w:ascii="仿宋" w:hAnsi="仿宋" w:eastAsia="仿宋" w:cs="仿宋"/>
                <w:color w:val="000000"/>
                <w:kern w:val="0"/>
                <w:sz w:val="24"/>
                <w:lang w:val="en-US" w:eastAsia="zh-CN"/>
              </w:rPr>
              <w:t>条件</w:t>
            </w:r>
            <w:r>
              <w:rPr>
                <w:rFonts w:hint="eastAsia" w:ascii="仿宋" w:hAnsi="仿宋" w:eastAsia="仿宋" w:cs="仿宋"/>
                <w:color w:val="000000"/>
                <w:kern w:val="0"/>
                <w:sz w:val="24"/>
              </w:rPr>
              <w:t>；</w:t>
            </w:r>
          </w:p>
          <w:p w14:paraId="34B97C48">
            <w:pPr>
              <w:widowControl/>
              <w:jc w:val="left"/>
              <w:rPr>
                <w:rFonts w:hint="default" w:ascii="仿宋" w:hAnsi="仿宋" w:eastAsia="仿宋" w:cs="仿宋"/>
                <w:color w:val="000000"/>
                <w:kern w:val="0"/>
                <w:sz w:val="24"/>
                <w:lang w:val="en-US"/>
              </w:rPr>
            </w:pPr>
            <w:r>
              <w:rPr>
                <w:rFonts w:hint="eastAsia" w:ascii="仿宋" w:hAnsi="仿宋" w:eastAsia="仿宋" w:cs="仿宋"/>
                <w:color w:val="000000"/>
                <w:kern w:val="0"/>
                <w:sz w:val="24"/>
                <w:lang w:val="en-US" w:eastAsia="zh-CN"/>
              </w:rPr>
              <w:t>3.开展访谈调研：包括上级单位领导、公司高管、外部专家等；</w:t>
            </w:r>
          </w:p>
          <w:p w14:paraId="6E777D51">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4.</w:t>
            </w:r>
            <w:r>
              <w:rPr>
                <w:rFonts w:hint="eastAsia" w:ascii="仿宋" w:hAnsi="仿宋" w:eastAsia="仿宋" w:cs="仿宋"/>
                <w:color w:val="000000"/>
                <w:kern w:val="0"/>
                <w:sz w:val="24"/>
              </w:rPr>
              <w:t>组织开展标杆企业调研，总结提炼优秀实践经验</w:t>
            </w:r>
          </w:p>
        </w:tc>
        <w:tc>
          <w:tcPr>
            <w:tcW w:w="1265" w:type="pct"/>
            <w:noWrap w:val="0"/>
            <w:vAlign w:val="center"/>
          </w:tcPr>
          <w:p w14:paraId="021068DE">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资料收集清单</w:t>
            </w:r>
            <w:r>
              <w:rPr>
                <w:rFonts w:hint="eastAsia" w:ascii="仿宋" w:hAnsi="仿宋" w:eastAsia="仿宋" w:cs="仿宋"/>
                <w:color w:val="000000"/>
                <w:kern w:val="0"/>
                <w:sz w:val="24"/>
                <w:lang w:eastAsia="zh-CN"/>
              </w:rPr>
              <w:t>》</w:t>
            </w:r>
          </w:p>
          <w:p w14:paraId="7AA843B8">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调研访谈提纲</w:t>
            </w:r>
            <w:r>
              <w:rPr>
                <w:rFonts w:hint="eastAsia" w:ascii="仿宋" w:hAnsi="仿宋" w:eastAsia="仿宋" w:cs="仿宋"/>
                <w:color w:val="000000"/>
                <w:kern w:val="0"/>
                <w:sz w:val="24"/>
                <w:lang w:eastAsia="zh-CN"/>
              </w:rPr>
              <w:t>》</w:t>
            </w:r>
          </w:p>
        </w:tc>
        <w:tc>
          <w:tcPr>
            <w:tcW w:w="623" w:type="pct"/>
            <w:noWrap w:val="0"/>
            <w:vAlign w:val="center"/>
          </w:tcPr>
          <w:p w14:paraId="3D72BB6A">
            <w:pPr>
              <w:keepNext w:val="0"/>
              <w:keepLines w:val="0"/>
              <w:widowControl/>
              <w:suppressLineNumbers w:val="0"/>
              <w:jc w:val="center"/>
              <w:textAlignment w:val="center"/>
              <w:rPr>
                <w:rFonts w:hint="eastAsia" w:ascii="仿宋" w:hAnsi="仿宋" w:eastAsia="仿宋" w:cs="仿宋"/>
                <w:color w:val="000000"/>
                <w:kern w:val="0"/>
                <w:sz w:val="24"/>
                <w:szCs w:val="24"/>
              </w:rPr>
            </w:pPr>
          </w:p>
        </w:tc>
      </w:tr>
      <w:tr w14:paraId="3372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05" w:type="pct"/>
            <w:noWrap w:val="0"/>
            <w:vAlign w:val="center"/>
          </w:tcPr>
          <w:p w14:paraId="2301B5A3">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c>
          <w:tcPr>
            <w:tcW w:w="604" w:type="pct"/>
            <w:noWrap w:val="0"/>
            <w:vAlign w:val="center"/>
          </w:tcPr>
          <w:p w14:paraId="0E5D7730">
            <w:pPr>
              <w:widowControl/>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战略、业务规划</w:t>
            </w:r>
          </w:p>
        </w:tc>
        <w:tc>
          <w:tcPr>
            <w:tcW w:w="2101" w:type="pct"/>
            <w:noWrap w:val="0"/>
            <w:vAlign w:val="center"/>
          </w:tcPr>
          <w:p w14:paraId="38231932">
            <w:pP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1.</w:t>
            </w:r>
            <w:r>
              <w:rPr>
                <w:rFonts w:hint="eastAsia" w:ascii="仿宋" w:hAnsi="仿宋" w:eastAsia="仿宋" w:cs="仿宋"/>
                <w:color w:val="000000"/>
                <w:kern w:val="0"/>
                <w:sz w:val="24"/>
              </w:rPr>
              <w:t>企业使命、愿景、价值观</w:t>
            </w:r>
            <w:r>
              <w:rPr>
                <w:rFonts w:hint="eastAsia" w:ascii="仿宋" w:hAnsi="仿宋" w:eastAsia="仿宋" w:cs="仿宋"/>
                <w:color w:val="000000"/>
                <w:kern w:val="0"/>
                <w:sz w:val="24"/>
                <w:lang w:val="en-US" w:eastAsia="zh-CN"/>
              </w:rPr>
              <w:t>定位</w:t>
            </w:r>
            <w:r>
              <w:rPr>
                <w:rFonts w:hint="eastAsia" w:ascii="仿宋" w:hAnsi="仿宋" w:eastAsia="仿宋" w:cs="仿宋"/>
                <w:color w:val="000000"/>
                <w:kern w:val="0"/>
                <w:sz w:val="24"/>
              </w:rPr>
              <w:t>澄清</w:t>
            </w:r>
          </w:p>
          <w:p w14:paraId="60698E5F">
            <w:pP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2.</w:t>
            </w:r>
            <w:r>
              <w:rPr>
                <w:rFonts w:hint="eastAsia" w:ascii="仿宋" w:hAnsi="仿宋" w:eastAsia="仿宋" w:cs="仿宋"/>
                <w:color w:val="000000"/>
                <w:kern w:val="0"/>
                <w:sz w:val="24"/>
              </w:rPr>
              <w:t>经营收入、投资规模、客户群体等目标规划</w:t>
            </w:r>
          </w:p>
          <w:p w14:paraId="698F1DE6">
            <w:pPr>
              <w:rPr>
                <w:rFonts w:hint="eastAsia"/>
                <w:sz w:val="24"/>
              </w:rPr>
            </w:pP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业务方向和重点发展领域规划</w:t>
            </w:r>
          </w:p>
        </w:tc>
        <w:tc>
          <w:tcPr>
            <w:tcW w:w="1265" w:type="pct"/>
            <w:vMerge w:val="restart"/>
            <w:noWrap w:val="0"/>
            <w:vAlign w:val="center"/>
          </w:tcPr>
          <w:p w14:paraId="4DE789CB">
            <w:pPr>
              <w:widowControl/>
              <w:jc w:val="left"/>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lang w:val="en-US" w:eastAsia="zh-CN"/>
              </w:rPr>
              <w:t>战略规划报告</w:t>
            </w:r>
            <w:r>
              <w:rPr>
                <w:rFonts w:hint="eastAsia" w:ascii="仿宋" w:hAnsi="仿宋" w:eastAsia="仿宋" w:cs="仿宋"/>
                <w:color w:val="000000"/>
                <w:kern w:val="0"/>
                <w:sz w:val="24"/>
                <w:lang w:eastAsia="zh-CN"/>
              </w:rPr>
              <w:t>》</w:t>
            </w:r>
          </w:p>
        </w:tc>
        <w:tc>
          <w:tcPr>
            <w:tcW w:w="623" w:type="pct"/>
            <w:noWrap w:val="0"/>
            <w:vAlign w:val="center"/>
          </w:tcPr>
          <w:p w14:paraId="1A6281F5">
            <w:pPr>
              <w:keepNext w:val="0"/>
              <w:keepLines w:val="0"/>
              <w:widowControl/>
              <w:suppressLineNumbers w:val="0"/>
              <w:jc w:val="center"/>
              <w:textAlignment w:val="center"/>
              <w:rPr>
                <w:rFonts w:hint="eastAsia" w:ascii="仿宋" w:hAnsi="仿宋" w:eastAsia="仿宋" w:cs="仿宋"/>
                <w:color w:val="000000"/>
                <w:kern w:val="0"/>
                <w:sz w:val="24"/>
                <w:szCs w:val="24"/>
              </w:rPr>
            </w:pPr>
          </w:p>
        </w:tc>
      </w:tr>
      <w:tr w14:paraId="6EFD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405" w:type="pct"/>
            <w:noWrap w:val="0"/>
            <w:vAlign w:val="center"/>
          </w:tcPr>
          <w:p w14:paraId="42AF1D39">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c>
          <w:tcPr>
            <w:tcW w:w="604" w:type="pct"/>
            <w:noWrap w:val="0"/>
            <w:vAlign w:val="center"/>
          </w:tcPr>
          <w:p w14:paraId="0334C798">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配套体系支撑建议</w:t>
            </w:r>
          </w:p>
        </w:tc>
        <w:tc>
          <w:tcPr>
            <w:tcW w:w="2101" w:type="pct"/>
            <w:noWrap w:val="0"/>
            <w:vAlign w:val="center"/>
          </w:tcPr>
          <w:p w14:paraId="2FD69134">
            <w:pPr>
              <w:widowControl/>
              <w:numPr>
                <w:ilvl w:val="0"/>
                <w:numId w:val="1"/>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政府政策、资源等配套建议</w:t>
            </w:r>
          </w:p>
          <w:p w14:paraId="3B2ECA38">
            <w:pPr>
              <w:widowControl/>
              <w:numPr>
                <w:ilvl w:val="0"/>
                <w:numId w:val="1"/>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组织人才发展策略建议</w:t>
            </w:r>
          </w:p>
          <w:p w14:paraId="275A4ED4">
            <w:pPr>
              <w:widowControl/>
              <w:numPr>
                <w:ilvl w:val="0"/>
                <w:numId w:val="1"/>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财务管理、资金使用建议</w:t>
            </w:r>
          </w:p>
          <w:p w14:paraId="62C1D81A">
            <w:pPr>
              <w:widowControl/>
              <w:numPr>
                <w:ilvl w:val="0"/>
                <w:numId w:val="1"/>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资产盘活</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处置建议</w:t>
            </w:r>
          </w:p>
          <w:p w14:paraId="2F59FB58">
            <w:pPr>
              <w:widowControl/>
              <w:numPr>
                <w:ilvl w:val="0"/>
                <w:numId w:val="1"/>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其他</w:t>
            </w:r>
            <w:r>
              <w:rPr>
                <w:rFonts w:hint="eastAsia" w:ascii="仿宋" w:hAnsi="仿宋" w:eastAsia="仿宋" w:cs="仿宋"/>
                <w:color w:val="000000"/>
                <w:kern w:val="0"/>
                <w:sz w:val="24"/>
                <w:lang w:val="en-US" w:eastAsia="zh-CN"/>
              </w:rPr>
              <w:t>企业</w:t>
            </w:r>
            <w:r>
              <w:rPr>
                <w:rFonts w:hint="eastAsia" w:ascii="仿宋" w:hAnsi="仿宋" w:eastAsia="仿宋" w:cs="仿宋"/>
                <w:color w:val="000000"/>
                <w:kern w:val="0"/>
                <w:sz w:val="24"/>
              </w:rPr>
              <w:t>管理、运营、风险管控等发展建议</w:t>
            </w:r>
          </w:p>
        </w:tc>
        <w:tc>
          <w:tcPr>
            <w:tcW w:w="1265" w:type="pct"/>
            <w:vMerge w:val="continue"/>
            <w:noWrap w:val="0"/>
            <w:vAlign w:val="center"/>
          </w:tcPr>
          <w:p w14:paraId="75E65E62">
            <w:pPr>
              <w:widowControl/>
              <w:numPr>
                <w:ilvl w:val="0"/>
                <w:numId w:val="0"/>
              </w:numPr>
              <w:jc w:val="left"/>
              <w:rPr>
                <w:rFonts w:hint="eastAsia" w:ascii="仿宋" w:hAnsi="仿宋" w:eastAsia="仿宋" w:cs="仿宋"/>
                <w:color w:val="000000"/>
                <w:kern w:val="0"/>
                <w:sz w:val="24"/>
              </w:rPr>
            </w:pPr>
          </w:p>
        </w:tc>
        <w:tc>
          <w:tcPr>
            <w:tcW w:w="623" w:type="pct"/>
            <w:noWrap w:val="0"/>
            <w:vAlign w:val="center"/>
          </w:tcPr>
          <w:p w14:paraId="61BB3E67">
            <w:pPr>
              <w:keepNext w:val="0"/>
              <w:keepLines w:val="0"/>
              <w:widowControl/>
              <w:suppressLineNumbers w:val="0"/>
              <w:jc w:val="center"/>
              <w:textAlignment w:val="center"/>
              <w:rPr>
                <w:rFonts w:hint="eastAsia" w:ascii="仿宋" w:hAnsi="仿宋" w:eastAsia="仿宋" w:cs="仿宋"/>
                <w:color w:val="000000"/>
                <w:kern w:val="0"/>
                <w:sz w:val="24"/>
                <w:szCs w:val="24"/>
              </w:rPr>
            </w:pPr>
          </w:p>
        </w:tc>
      </w:tr>
      <w:tr w14:paraId="0E19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376" w:type="pct"/>
            <w:gridSpan w:val="4"/>
            <w:shd w:val="clear" w:color="auto" w:fill="F1F1F1"/>
            <w:noWrap w:val="0"/>
            <w:vAlign w:val="center"/>
          </w:tcPr>
          <w:p w14:paraId="2AD3E0CF">
            <w:pPr>
              <w:pStyle w:val="8"/>
              <w:keepNext w:val="0"/>
              <w:keepLines w:val="0"/>
              <w:widowControl/>
              <w:suppressLineNumbers w:val="0"/>
              <w:kinsoku/>
              <w:wordWrap/>
              <w:overflowPunct/>
              <w:ind w:left="0" w:leftChars="0" w:right="0" w:rightChars="0"/>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合计（含税）</w:t>
            </w:r>
          </w:p>
        </w:tc>
        <w:tc>
          <w:tcPr>
            <w:tcW w:w="623" w:type="pct"/>
            <w:shd w:val="clear" w:color="auto" w:fill="F1F1F1"/>
            <w:noWrap w:val="0"/>
            <w:vAlign w:val="center"/>
          </w:tcPr>
          <w:p w14:paraId="7EEDA96F">
            <w:pPr>
              <w:keepNext w:val="0"/>
              <w:keepLines w:val="0"/>
              <w:widowControl/>
              <w:suppressLineNumbers w:val="0"/>
              <w:jc w:val="center"/>
              <w:textAlignment w:val="center"/>
              <w:rPr>
                <w:rFonts w:hint="eastAsia" w:ascii="仿宋" w:hAnsi="仿宋" w:eastAsia="仿宋" w:cs="仿宋"/>
                <w:b/>
                <w:bCs/>
                <w:color w:val="000000"/>
                <w:kern w:val="0"/>
                <w:sz w:val="24"/>
                <w:szCs w:val="24"/>
                <w:lang w:bidi="ar"/>
              </w:rPr>
            </w:pPr>
          </w:p>
        </w:tc>
      </w:tr>
    </w:tbl>
    <w:p w14:paraId="0FBFADFF">
      <w:pPr>
        <w:spacing w:line="600" w:lineRule="exact"/>
        <w:ind w:firstLine="640"/>
        <w:rPr>
          <w:rFonts w:eastAsia="仿宋_GB2312"/>
          <w:sz w:val="32"/>
          <w:szCs w:val="32"/>
        </w:rPr>
      </w:pPr>
      <w:r>
        <w:rPr>
          <w:rFonts w:hint="eastAsia" w:eastAsia="仿宋_GB2312"/>
          <w:sz w:val="32"/>
          <w:szCs w:val="32"/>
        </w:rPr>
        <w:t>对完成该项工作业务报价为</w:t>
      </w:r>
      <w:r>
        <w:rPr>
          <w:rFonts w:hint="eastAsia" w:eastAsia="仿宋_GB2312"/>
          <w:sz w:val="32"/>
          <w:szCs w:val="32"/>
          <w:u w:val="single"/>
          <w:lang w:val="en-US" w:eastAsia="zh-CN"/>
        </w:rPr>
        <w:t xml:space="preserve">         </w:t>
      </w:r>
      <w:r>
        <w:rPr>
          <w:rFonts w:hint="eastAsia" w:eastAsia="仿宋_GB2312"/>
          <w:sz w:val="32"/>
          <w:szCs w:val="32"/>
        </w:rPr>
        <w:t>元，具体项目包括：</w:t>
      </w:r>
    </w:p>
    <w:p w14:paraId="7D5B51D1">
      <w:pPr>
        <w:spacing w:line="600" w:lineRule="exact"/>
        <w:ind w:firstLine="640"/>
        <w:rPr>
          <w:rFonts w:hint="eastAsia" w:eastAsia="仿宋_GB2312"/>
          <w:sz w:val="32"/>
          <w:szCs w:val="32"/>
        </w:rPr>
      </w:pPr>
      <w:r>
        <w:rPr>
          <w:rFonts w:hint="eastAsia" w:eastAsia="仿宋_GB2312"/>
          <w:sz w:val="32"/>
          <w:szCs w:val="32"/>
        </w:rPr>
        <w:t>以上报价包括但不限于税金、保险、利润等全部费用，并作出如下承诺：</w:t>
      </w:r>
    </w:p>
    <w:p w14:paraId="06764DA2">
      <w:pPr>
        <w:spacing w:line="600" w:lineRule="exact"/>
        <w:rPr>
          <w:rFonts w:hint="eastAsia" w:eastAsia="仿宋_GB2312"/>
          <w:sz w:val="32"/>
          <w:szCs w:val="32"/>
        </w:rPr>
      </w:pPr>
      <w:r>
        <w:rPr>
          <w:rFonts w:hint="eastAsia" w:eastAsia="仿宋_GB2312"/>
          <w:sz w:val="32"/>
          <w:szCs w:val="32"/>
        </w:rPr>
        <w:t xml:space="preserve">    一、我方对本次采购过程中涉及的敏感信息及内容严格保密；</w:t>
      </w:r>
    </w:p>
    <w:p w14:paraId="7393CBF0">
      <w:pPr>
        <w:spacing w:line="600" w:lineRule="exact"/>
        <w:rPr>
          <w:rFonts w:hint="eastAsia" w:eastAsia="仿宋_GB2312"/>
          <w:sz w:val="32"/>
          <w:szCs w:val="32"/>
        </w:rPr>
      </w:pPr>
      <w:r>
        <w:rPr>
          <w:rFonts w:hint="eastAsia" w:eastAsia="仿宋_GB2312"/>
          <w:sz w:val="32"/>
          <w:szCs w:val="32"/>
        </w:rPr>
        <w:t xml:space="preserve">    二、我方同意按照贵方可能提出的要求而提供与报价有关的任何其它数据或信息；</w:t>
      </w:r>
    </w:p>
    <w:p w14:paraId="134D71DC">
      <w:pPr>
        <w:spacing w:line="600" w:lineRule="exact"/>
        <w:rPr>
          <w:rFonts w:hint="eastAsia" w:eastAsia="仿宋_GB2312"/>
          <w:sz w:val="32"/>
          <w:szCs w:val="32"/>
        </w:rPr>
      </w:pPr>
      <w:r>
        <w:rPr>
          <w:rFonts w:hint="eastAsia" w:eastAsia="仿宋_GB2312"/>
          <w:sz w:val="32"/>
          <w:szCs w:val="32"/>
        </w:rPr>
        <w:t xml:space="preserve">    三、我方理解贵方不一定接受本次报价；我方如果成交，将保证履行业务需求书及《合同书》等文件中的全部责任和义务，按质、按量、按期完成《合同书》中的全部任务。</w:t>
      </w:r>
    </w:p>
    <w:p w14:paraId="17B33039">
      <w:pPr>
        <w:spacing w:line="600" w:lineRule="exact"/>
        <w:rPr>
          <w:rFonts w:hint="eastAsia" w:eastAsia="仿宋_GB2312"/>
          <w:sz w:val="32"/>
          <w:szCs w:val="32"/>
        </w:rPr>
      </w:pPr>
      <w:r>
        <w:rPr>
          <w:rFonts w:hint="eastAsia" w:eastAsia="仿宋_GB2312"/>
          <w:sz w:val="32"/>
          <w:szCs w:val="32"/>
        </w:rPr>
        <w:t xml:space="preserve">    此函</w:t>
      </w:r>
    </w:p>
    <w:p w14:paraId="512872FE">
      <w:pPr>
        <w:spacing w:line="600" w:lineRule="exact"/>
        <w:rPr>
          <w:rFonts w:eastAsia="仿宋_GB2312"/>
          <w:sz w:val="32"/>
          <w:szCs w:val="32"/>
        </w:rPr>
      </w:pPr>
    </w:p>
    <w:p w14:paraId="42EEA4B9">
      <w:pPr>
        <w:pStyle w:val="3"/>
        <w:rPr>
          <w:rFonts w:hint="eastAsia"/>
        </w:rPr>
      </w:pPr>
    </w:p>
    <w:p w14:paraId="09239173">
      <w:pPr>
        <w:spacing w:line="600" w:lineRule="exact"/>
        <w:ind w:left="210" w:leftChars="100" w:firstLine="3200" w:firstLineChars="1000"/>
        <w:rPr>
          <w:rFonts w:eastAsia="仿宋_GB2312"/>
          <w:sz w:val="32"/>
          <w:szCs w:val="32"/>
        </w:rPr>
      </w:pPr>
      <w:r>
        <w:rPr>
          <w:rFonts w:hint="eastAsia" w:eastAsia="仿宋_GB2312"/>
          <w:sz w:val="32"/>
          <w:szCs w:val="32"/>
        </w:rPr>
        <w:t>报价</w:t>
      </w:r>
      <w:r>
        <w:rPr>
          <w:rFonts w:hint="eastAsia" w:eastAsia="仿宋_GB2312"/>
          <w:sz w:val="32"/>
          <w:szCs w:val="32"/>
          <w:lang w:val="en-US" w:eastAsia="zh-CN"/>
        </w:rPr>
        <w:t>单位</w:t>
      </w:r>
      <w:r>
        <w:rPr>
          <w:rFonts w:hint="eastAsia" w:eastAsia="仿宋_GB2312"/>
          <w:sz w:val="32"/>
          <w:szCs w:val="32"/>
        </w:rPr>
        <w:t xml:space="preserve">（公章）： </w:t>
      </w:r>
    </w:p>
    <w:p w14:paraId="71C912EA">
      <w:pPr>
        <w:spacing w:line="600" w:lineRule="exact"/>
        <w:ind w:left="210" w:leftChars="100" w:firstLine="3200" w:firstLineChars="1000"/>
        <w:rPr>
          <w:rFonts w:hint="eastAsia" w:eastAsia="仿宋_GB2312"/>
          <w:sz w:val="32"/>
          <w:szCs w:val="32"/>
        </w:rPr>
      </w:pPr>
      <w:r>
        <w:rPr>
          <w:rFonts w:hint="eastAsia" w:eastAsia="仿宋_GB2312"/>
          <w:sz w:val="32"/>
          <w:szCs w:val="32"/>
        </w:rPr>
        <w:t>日期：2</w:t>
      </w:r>
      <w:r>
        <w:rPr>
          <w:rFonts w:eastAsia="仿宋_GB2312"/>
          <w:sz w:val="32"/>
          <w:szCs w:val="32"/>
        </w:rPr>
        <w:t>02</w:t>
      </w:r>
      <w:r>
        <w:rPr>
          <w:rFonts w:hint="eastAsia" w:eastAsia="仿宋_GB2312"/>
          <w:sz w:val="32"/>
          <w:szCs w:val="32"/>
          <w:lang w:val="en-US" w:eastAsia="zh-CN"/>
        </w:rPr>
        <w:t>5</w:t>
      </w:r>
      <w:r>
        <w:rPr>
          <w:rFonts w:hint="eastAsia" w:eastAsia="仿宋_GB2312"/>
          <w:sz w:val="32"/>
          <w:szCs w:val="32"/>
        </w:rPr>
        <w:t>年</w:t>
      </w:r>
      <w:r>
        <w:rPr>
          <w:rFonts w:hint="eastAsia" w:eastAsia="仿宋_GB2312"/>
          <w:sz w:val="32"/>
          <w:szCs w:val="32"/>
          <w:lang w:val="en-US" w:eastAsia="zh-CN"/>
        </w:rPr>
        <w:t>9</w:t>
      </w:r>
      <w:r>
        <w:rPr>
          <w:rFonts w:hint="eastAsia" w:eastAsia="仿宋_GB2312"/>
          <w:sz w:val="32"/>
          <w:szCs w:val="32"/>
        </w:rPr>
        <w:t>月</w:t>
      </w:r>
      <w:r>
        <w:rPr>
          <w:rFonts w:hint="eastAsia" w:eastAsia="仿宋_GB2312"/>
          <w:sz w:val="32"/>
          <w:szCs w:val="32"/>
          <w:lang w:val="en-US" w:eastAsia="zh-CN"/>
        </w:rPr>
        <w:t xml:space="preserve">  </w:t>
      </w:r>
      <w:r>
        <w:rPr>
          <w:rFonts w:hint="eastAsia" w:eastAsia="仿宋_GB2312"/>
          <w:sz w:val="32"/>
          <w:szCs w:val="32"/>
        </w:rPr>
        <w:t>日</w:t>
      </w:r>
    </w:p>
    <w:sectPr>
      <w:footerReference r:id="rId3" w:type="default"/>
      <w:footerReference r:id="rId4" w:type="even"/>
      <w:pgSz w:w="11906" w:h="16838"/>
      <w:pgMar w:top="2155" w:right="1587" w:bottom="153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方正小标宋简体">
    <w:altName w:val="仿宋_GB2312"/>
    <w:panose1 w:val="02010601030101010101"/>
    <w:charset w:val="86"/>
    <w:family w:val="auto"/>
    <w:pitch w:val="default"/>
    <w:sig w:usb0="00000001" w:usb1="080E0000" w:usb2="00000000" w:usb3="00000000" w:csb0="00040000" w:csb1="00000000"/>
    <w:embedRegular r:id="rId1" w:fontKey="{0D3044EB-EB92-4FC2-9E2C-998C380D1118}"/>
  </w:font>
  <w:font w:name="仿宋_GB2312">
    <w:panose1 w:val="02010609030101010101"/>
    <w:charset w:val="86"/>
    <w:family w:val="modern"/>
    <w:pitch w:val="default"/>
    <w:sig w:usb0="00000001" w:usb1="080E0000" w:usb2="00000000" w:usb3="00000000" w:csb0="00040000" w:csb1="00000000"/>
    <w:embedRegular r:id="rId2" w:fontKey="{3ACE5CD1-9C66-4FE0-82C9-3999BBA15AC4}"/>
  </w:font>
  <w:font w:name="仿宋">
    <w:panose1 w:val="02010609060101010101"/>
    <w:charset w:val="86"/>
    <w:family w:val="modern"/>
    <w:pitch w:val="default"/>
    <w:sig w:usb0="800002BF" w:usb1="38CF7CFA" w:usb2="00000016" w:usb3="00000000" w:csb0="00040001" w:csb1="00000000"/>
    <w:embedRegular r:id="rId3" w:fontKey="{F4112016-BC86-40B9-9D9C-8C017B028A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6E1A">
    <w:pPr>
      <w:pStyle w:val="6"/>
      <w:framePr w:wrap="around" w:vAnchor="text" w:hAnchor="margin" w:xAlign="right" w:y="1"/>
      <w:rPr>
        <w:rStyle w:val="13"/>
      </w:rPr>
    </w:pPr>
    <w:r>
      <w:rPr>
        <w:rStyle w:val="13"/>
      </w:rPr>
      <w:fldChar w:fldCharType="begin"/>
    </w:r>
    <w:r>
      <w:rPr>
        <w:rStyle w:val="13"/>
      </w:rPr>
      <w:instrText xml:space="preserve">PAGE  </w:instrText>
    </w:r>
    <w:r>
      <w:rPr>
        <w:rStyle w:val="13"/>
      </w:rPr>
      <w:fldChar w:fldCharType="separate"/>
    </w:r>
    <w:r>
      <w:rPr>
        <w:rStyle w:val="13"/>
        <w:lang/>
      </w:rPr>
      <w:t>6</w:t>
    </w:r>
    <w:r>
      <w:rPr>
        <w:rStyle w:val="13"/>
      </w:rPr>
      <w:fldChar w:fldCharType="end"/>
    </w:r>
  </w:p>
  <w:p w14:paraId="6A374A24">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C932F">
    <w:pPr>
      <w:pStyle w:val="6"/>
      <w:framePr w:wrap="around" w:vAnchor="text" w:hAnchor="margin" w:xAlign="right" w:y="1"/>
      <w:rPr>
        <w:rStyle w:val="13"/>
      </w:rPr>
    </w:pPr>
    <w:r>
      <w:rPr>
        <w:rStyle w:val="13"/>
      </w:rPr>
      <w:fldChar w:fldCharType="begin"/>
    </w:r>
    <w:r>
      <w:rPr>
        <w:rStyle w:val="13"/>
      </w:rPr>
      <w:instrText xml:space="preserve">PAGE  </w:instrText>
    </w:r>
    <w:r>
      <w:rPr>
        <w:rStyle w:val="13"/>
      </w:rPr>
      <w:fldChar w:fldCharType="separate"/>
    </w:r>
    <w:r>
      <w:rPr>
        <w:rStyle w:val="13"/>
        <w:lang/>
      </w:rPr>
      <w:t>1</w:t>
    </w:r>
    <w:r>
      <w:rPr>
        <w:rStyle w:val="13"/>
      </w:rPr>
      <w:fldChar w:fldCharType="end"/>
    </w:r>
  </w:p>
  <w:p w14:paraId="15B3F5A5">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87FD8A"/>
    <w:multiLevelType w:val="singleLevel"/>
    <w:tmpl w:val="7787FD8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WU0ZTNmYjAyOGI4ZGYxMmI1Y2NhYjgzM2I4MjMxMmEifQ=="/>
  </w:docVars>
  <w:rsids>
    <w:rsidRoot w:val="00E90F27"/>
    <w:rsid w:val="0005478F"/>
    <w:rsid w:val="000B4751"/>
    <w:rsid w:val="00126FD1"/>
    <w:rsid w:val="00161893"/>
    <w:rsid w:val="001802CC"/>
    <w:rsid w:val="001B275D"/>
    <w:rsid w:val="001B41E3"/>
    <w:rsid w:val="00271E18"/>
    <w:rsid w:val="002A1CE4"/>
    <w:rsid w:val="002E29C6"/>
    <w:rsid w:val="002F28EB"/>
    <w:rsid w:val="00324134"/>
    <w:rsid w:val="00343D1A"/>
    <w:rsid w:val="003779BB"/>
    <w:rsid w:val="00390CD2"/>
    <w:rsid w:val="003B2BFE"/>
    <w:rsid w:val="003C606A"/>
    <w:rsid w:val="003F36B8"/>
    <w:rsid w:val="00437699"/>
    <w:rsid w:val="004464CA"/>
    <w:rsid w:val="004477F7"/>
    <w:rsid w:val="004B1BAE"/>
    <w:rsid w:val="004E07D0"/>
    <w:rsid w:val="004E6DFE"/>
    <w:rsid w:val="004F265C"/>
    <w:rsid w:val="00505F57"/>
    <w:rsid w:val="005205F6"/>
    <w:rsid w:val="005465AB"/>
    <w:rsid w:val="005A707F"/>
    <w:rsid w:val="005D3A2C"/>
    <w:rsid w:val="005D7065"/>
    <w:rsid w:val="005E318A"/>
    <w:rsid w:val="005E5091"/>
    <w:rsid w:val="005E79ED"/>
    <w:rsid w:val="00610211"/>
    <w:rsid w:val="00653B94"/>
    <w:rsid w:val="00712F94"/>
    <w:rsid w:val="007152B7"/>
    <w:rsid w:val="007278EC"/>
    <w:rsid w:val="00755581"/>
    <w:rsid w:val="0076784E"/>
    <w:rsid w:val="007D2EE7"/>
    <w:rsid w:val="007F12F7"/>
    <w:rsid w:val="007F439E"/>
    <w:rsid w:val="008411D0"/>
    <w:rsid w:val="00883892"/>
    <w:rsid w:val="008B1D67"/>
    <w:rsid w:val="008B3B57"/>
    <w:rsid w:val="008E652F"/>
    <w:rsid w:val="009857C7"/>
    <w:rsid w:val="00991A7E"/>
    <w:rsid w:val="009C64DA"/>
    <w:rsid w:val="009E0D33"/>
    <w:rsid w:val="00A00121"/>
    <w:rsid w:val="00A0090A"/>
    <w:rsid w:val="00A07254"/>
    <w:rsid w:val="00A4376D"/>
    <w:rsid w:val="00A542B2"/>
    <w:rsid w:val="00A578EE"/>
    <w:rsid w:val="00A76960"/>
    <w:rsid w:val="00AC5810"/>
    <w:rsid w:val="00AE39AC"/>
    <w:rsid w:val="00B10771"/>
    <w:rsid w:val="00B1225E"/>
    <w:rsid w:val="00BB41DE"/>
    <w:rsid w:val="00BC6484"/>
    <w:rsid w:val="00BC7701"/>
    <w:rsid w:val="00C1060B"/>
    <w:rsid w:val="00C35124"/>
    <w:rsid w:val="00C41260"/>
    <w:rsid w:val="00C53227"/>
    <w:rsid w:val="00C87454"/>
    <w:rsid w:val="00CD48D0"/>
    <w:rsid w:val="00D378BB"/>
    <w:rsid w:val="00D56ED7"/>
    <w:rsid w:val="00D910C4"/>
    <w:rsid w:val="00DA4FCE"/>
    <w:rsid w:val="00DA53BF"/>
    <w:rsid w:val="00DA7A28"/>
    <w:rsid w:val="00DC1487"/>
    <w:rsid w:val="00DD506A"/>
    <w:rsid w:val="00DF68AB"/>
    <w:rsid w:val="00E15622"/>
    <w:rsid w:val="00E159C9"/>
    <w:rsid w:val="00E52AA0"/>
    <w:rsid w:val="00E72F7E"/>
    <w:rsid w:val="00E90F27"/>
    <w:rsid w:val="00EA6467"/>
    <w:rsid w:val="00EC1707"/>
    <w:rsid w:val="00EE11D4"/>
    <w:rsid w:val="00F70DFA"/>
    <w:rsid w:val="00FE227D"/>
    <w:rsid w:val="01C66B5D"/>
    <w:rsid w:val="06042652"/>
    <w:rsid w:val="0B013031"/>
    <w:rsid w:val="0BB37D33"/>
    <w:rsid w:val="10D616C6"/>
    <w:rsid w:val="1438256D"/>
    <w:rsid w:val="14F43330"/>
    <w:rsid w:val="165322D8"/>
    <w:rsid w:val="177B2940"/>
    <w:rsid w:val="17D41AB1"/>
    <w:rsid w:val="1F1439CD"/>
    <w:rsid w:val="21D83BA6"/>
    <w:rsid w:val="222B6A2F"/>
    <w:rsid w:val="24136EB7"/>
    <w:rsid w:val="24FF3FC9"/>
    <w:rsid w:val="25344B49"/>
    <w:rsid w:val="253B223D"/>
    <w:rsid w:val="27F23386"/>
    <w:rsid w:val="295B1A24"/>
    <w:rsid w:val="2A1E1752"/>
    <w:rsid w:val="2A44381E"/>
    <w:rsid w:val="2A863BF7"/>
    <w:rsid w:val="2C6B1B7D"/>
    <w:rsid w:val="2DD3165A"/>
    <w:rsid w:val="2EDC2A13"/>
    <w:rsid w:val="2EEB00FC"/>
    <w:rsid w:val="309D7556"/>
    <w:rsid w:val="32857194"/>
    <w:rsid w:val="32B32016"/>
    <w:rsid w:val="33BE3743"/>
    <w:rsid w:val="36B97ADD"/>
    <w:rsid w:val="38CD3B3F"/>
    <w:rsid w:val="396005BC"/>
    <w:rsid w:val="3DEB564C"/>
    <w:rsid w:val="3EA66056"/>
    <w:rsid w:val="3FDC3209"/>
    <w:rsid w:val="41BF173F"/>
    <w:rsid w:val="452706D9"/>
    <w:rsid w:val="46084FF9"/>
    <w:rsid w:val="49B322F4"/>
    <w:rsid w:val="4A980761"/>
    <w:rsid w:val="4AC16765"/>
    <w:rsid w:val="4AFB74CA"/>
    <w:rsid w:val="4BC83C1B"/>
    <w:rsid w:val="4E1A4EAE"/>
    <w:rsid w:val="4EE23C1E"/>
    <w:rsid w:val="4F827FA8"/>
    <w:rsid w:val="51035223"/>
    <w:rsid w:val="51FF6849"/>
    <w:rsid w:val="55314598"/>
    <w:rsid w:val="57240EAC"/>
    <w:rsid w:val="58324306"/>
    <w:rsid w:val="5AE73E4F"/>
    <w:rsid w:val="5B1B57C4"/>
    <w:rsid w:val="5DC5763B"/>
    <w:rsid w:val="5DD673D5"/>
    <w:rsid w:val="5F5B5E76"/>
    <w:rsid w:val="60002310"/>
    <w:rsid w:val="61096BD3"/>
    <w:rsid w:val="62BF527F"/>
    <w:rsid w:val="62EE1DC6"/>
    <w:rsid w:val="67CA44A4"/>
    <w:rsid w:val="687551CF"/>
    <w:rsid w:val="69682574"/>
    <w:rsid w:val="6A6E0E97"/>
    <w:rsid w:val="6B642F9C"/>
    <w:rsid w:val="6C9B0737"/>
    <w:rsid w:val="6CAF0F8D"/>
    <w:rsid w:val="6D646D2B"/>
    <w:rsid w:val="6D6C02FB"/>
    <w:rsid w:val="6E8D2C21"/>
    <w:rsid w:val="6F016302"/>
    <w:rsid w:val="6FA16093"/>
    <w:rsid w:val="6FE01549"/>
    <w:rsid w:val="717350E5"/>
    <w:rsid w:val="71F15DA2"/>
    <w:rsid w:val="73E96A17"/>
    <w:rsid w:val="79650984"/>
    <w:rsid w:val="79B83B72"/>
    <w:rsid w:val="7A4038A4"/>
    <w:rsid w:val="7BF55B8C"/>
    <w:rsid w:val="7CBB3010"/>
    <w:rsid w:val="7EF64F9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link w:val="12"/>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Body Text"/>
    <w:basedOn w:val="1"/>
    <w:link w:val="15"/>
    <w:unhideWhenUsed/>
    <w:qFormat/>
    <w:uiPriority w:val="99"/>
    <w:pPr>
      <w:spacing w:after="120"/>
    </w:pPr>
    <w:rPr>
      <w:rFonts w:ascii="等线" w:hAnsi="等线" w:eastAsia="等线" w:cs="Times New Roman"/>
      <w:szCs w:val="22"/>
    </w:rPr>
  </w:style>
  <w:style w:type="paragraph" w:styleId="3">
    <w:name w:val="Plain Text"/>
    <w:basedOn w:val="1"/>
    <w:qFormat/>
    <w:uiPriority w:val="0"/>
    <w:pPr>
      <w:adjustRightInd w:val="0"/>
      <w:spacing w:after="120" w:line="300" w:lineRule="auto"/>
      <w:jc w:val="left"/>
      <w:textAlignment w:val="baseline"/>
    </w:pPr>
    <w:rPr>
      <w:rFonts w:ascii="Courier New" w:hAnsi="Courier New"/>
      <w:kern w:val="0"/>
      <w:szCs w:val="20"/>
    </w:r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link w:val="16"/>
    <w:uiPriority w:val="0"/>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 Char Char Char Char Char Char Char Char Char Char Char Char Char Char Char2 Char Char Char Char Char Char1 Char Char Char Char"/>
    <w:basedOn w:val="1"/>
    <w:link w:val="11"/>
    <w:uiPriority w:val="0"/>
    <w:pPr>
      <w:spacing w:line="360" w:lineRule="auto"/>
      <w:ind w:firstLine="200" w:firstLineChars="200"/>
    </w:pPr>
    <w:rPr>
      <w:rFonts w:ascii="宋体" w:hAnsi="宋体" w:cs="宋体"/>
      <w:sz w:val="24"/>
    </w:rPr>
  </w:style>
  <w:style w:type="character" w:styleId="13">
    <w:name w:val="page number"/>
    <w:uiPriority w:val="0"/>
  </w:style>
  <w:style w:type="character" w:styleId="14">
    <w:name w:val="Hyperlink"/>
    <w:unhideWhenUsed/>
    <w:qFormat/>
    <w:uiPriority w:val="99"/>
    <w:rPr>
      <w:color w:val="0000FF"/>
      <w:u w:val="single"/>
    </w:rPr>
  </w:style>
  <w:style w:type="character" w:customStyle="1" w:styleId="15">
    <w:name w:val="正文文本 字符"/>
    <w:link w:val="2"/>
    <w:qFormat/>
    <w:uiPriority w:val="99"/>
    <w:rPr>
      <w:rFonts w:ascii="等线" w:hAnsi="等线" w:eastAsia="等线"/>
      <w:kern w:val="2"/>
      <w:sz w:val="21"/>
      <w:szCs w:val="22"/>
    </w:rPr>
  </w:style>
  <w:style w:type="character" w:customStyle="1" w:styleId="16">
    <w:name w:val="页眉 字符"/>
    <w:link w:val="7"/>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东莞市人民政府专用版</Company>
  <Pages>2</Pages>
  <Words>565</Words>
  <Characters>578</Characters>
  <Lines>3</Lines>
  <Paragraphs>1</Paragraphs>
  <TotalTime>0</TotalTime>
  <ScaleCrop>false</ScaleCrop>
  <LinksUpToDate>false</LinksUpToDate>
  <CharactersWithSpaces>608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2023-08-02T02:54:00Z</dcterms:created>
  <dc:creator>东莞市人民政府</dc:creator>
  <cp:lastModifiedBy>HSDG</cp:lastModifiedBy>
  <cp:lastPrinted>2023-08-02T07:58:00Z</cp:lastPrinted>
  <dcterms:modified xsi:type="dcterms:W3CDTF">2025-09-26T07:18:25Z</dcterms:modified>
  <dc:title>东莞市市属国有企业2017年任期</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D019E551261E4F0EBA11FAB8B4D61B81_13</vt:lpwstr>
  </property>
  <property fmtid="{D5CDD505-2E9C-101B-9397-08002B2CF9AE}" pid="4" name="KSOTemplateDocerSaveRecord">
    <vt:lpwstr>eyJoZGlkIjoiOGFjMzhkZTNmZjYxZDM3ZTI3Y2U4MTU5MzRiOTg1MWQiLCJ1c2VySWQiOiIyMDA5Mzc1MjYifQ==</vt:lpwstr>
  </property>
</Properties>
</file>