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052B4">
      <w:pPr>
        <w:pStyle w:val="3"/>
        <w:keepNext w:val="0"/>
        <w:keepLines w:val="0"/>
        <w:pageBreakBefore w:val="0"/>
        <w:kinsoku/>
        <w:wordWrap/>
        <w:overflowPunct/>
        <w:topLinePunct w:val="0"/>
        <w:bidi w:val="0"/>
        <w:adjustRightInd/>
        <w:snapToGrid/>
        <w:spacing w:before="0" w:line="360" w:lineRule="auto"/>
        <w:contextualSpacing/>
        <w:textAlignment w:val="auto"/>
        <w:rPr>
          <w:rFonts w:hint="eastAsia" w:ascii="宋体" w:hAnsi="宋体" w:eastAsia="宋体" w:cs="宋体"/>
          <w:color w:val="auto"/>
          <w:spacing w:val="12"/>
          <w:sz w:val="22"/>
          <w:szCs w:val="22"/>
          <w:highlight w:val="none"/>
        </w:rPr>
      </w:pPr>
      <w:bookmarkStart w:id="0" w:name="_Toc6313"/>
      <w:bookmarkStart w:id="4" w:name="_GoBack"/>
      <w:bookmarkEnd w:id="4"/>
      <w:r>
        <w:rPr>
          <w:rFonts w:hint="eastAsia" w:ascii="宋体" w:hAnsi="宋体" w:eastAsia="宋体" w:cs="宋体"/>
          <w:color w:val="auto"/>
          <w:spacing w:val="12"/>
          <w:sz w:val="22"/>
          <w:szCs w:val="22"/>
          <w:highlight w:val="none"/>
        </w:rPr>
        <w:t>采购需求</w:t>
      </w:r>
      <w:bookmarkEnd w:id="0"/>
    </w:p>
    <w:p w14:paraId="63A17E5E">
      <w:pPr>
        <w:keepNext w:val="0"/>
        <w:keepLines w:val="0"/>
        <w:pageBreakBefore w:val="0"/>
        <w:kinsoku/>
        <w:wordWrap/>
        <w:overflowPunct/>
        <w:topLinePunct w:val="0"/>
        <w:bidi w:val="0"/>
        <w:adjustRightInd/>
        <w:snapToGrid/>
        <w:spacing w:line="360" w:lineRule="auto"/>
        <w:contextualSpacing/>
        <w:jc w:val="left"/>
        <w:textAlignment w:val="auto"/>
        <w:outlineLvl w:val="1"/>
        <w:rPr>
          <w:rFonts w:hint="eastAsia" w:ascii="宋体" w:hAnsi="宋体" w:eastAsia="宋体" w:cs="宋体"/>
          <w:b/>
          <w:bCs/>
          <w:color w:val="auto"/>
          <w:sz w:val="22"/>
          <w:szCs w:val="22"/>
          <w:highlight w:val="none"/>
        </w:rPr>
      </w:pPr>
      <w:bookmarkStart w:id="1" w:name="_Toc3477"/>
      <w:r>
        <w:rPr>
          <w:rFonts w:hint="eastAsia" w:ascii="宋体" w:hAnsi="宋体" w:eastAsia="宋体" w:cs="宋体"/>
          <w:b/>
          <w:bCs/>
          <w:color w:val="auto"/>
          <w:sz w:val="22"/>
          <w:szCs w:val="22"/>
          <w:highlight w:val="none"/>
        </w:rPr>
        <w:t>一、项目概况</w:t>
      </w:r>
      <w:bookmarkEnd w:id="1"/>
    </w:p>
    <w:p w14:paraId="422D65E4">
      <w:pPr>
        <w:pStyle w:val="15"/>
        <w:spacing w:line="360" w:lineRule="auto"/>
        <w:ind w:firstLine="440" w:firstLineChars="200"/>
        <w:rPr>
          <w:rFonts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本项目为东莞市莞城中心小学食堂食材配送服务项目</w:t>
      </w:r>
      <w:r>
        <w:rPr>
          <w:rFonts w:hint="eastAsia" w:ascii="宋体" w:hAnsi="宋体" w:eastAsia="宋体" w:cs="宋体"/>
          <w:color w:val="auto"/>
          <w:sz w:val="22"/>
          <w:szCs w:val="22"/>
          <w:highlight w:val="none"/>
        </w:rPr>
        <w:t>，主要</w:t>
      </w:r>
      <w:r>
        <w:rPr>
          <w:rFonts w:hint="eastAsia" w:ascii="宋体" w:hAnsi="宋体" w:eastAsia="宋体" w:cs="宋体"/>
          <w:color w:val="auto"/>
          <w:sz w:val="22"/>
          <w:szCs w:val="22"/>
          <w:highlight w:val="none"/>
          <w:lang w:val="en-US" w:eastAsia="zh-CN"/>
        </w:rPr>
        <w:t>服务内容包括</w:t>
      </w:r>
      <w:r>
        <w:rPr>
          <w:rFonts w:hint="eastAsia" w:ascii="宋体" w:hAnsi="宋体" w:eastAsia="宋体" w:cs="宋体"/>
          <w:color w:val="auto"/>
          <w:sz w:val="22"/>
          <w:szCs w:val="22"/>
          <w:highlight w:val="none"/>
        </w:rPr>
        <w:t>提供包括粮油、肉类及肉制品、蔬菜、豆制品、水产、冻品、调味品、禽蛋、奶制品、糕点类等配送服务。服务期为二年，在服务期内对采购人提出的订单按质、按时、按量将货品送到指定地点</w:t>
      </w:r>
      <w:r>
        <w:rPr>
          <w:rFonts w:ascii="宋体" w:hAnsi="宋体" w:eastAsia="宋体" w:cs="宋体"/>
          <w:color w:val="auto"/>
          <w:sz w:val="22"/>
          <w:szCs w:val="22"/>
          <w:highlight w:val="none"/>
        </w:rPr>
        <w:t>。</w:t>
      </w:r>
    </w:p>
    <w:p w14:paraId="3E9B5C0F">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br w:type="page"/>
      </w:r>
    </w:p>
    <w:p w14:paraId="3C74F84C">
      <w:pPr>
        <w:pStyle w:val="4"/>
        <w:keepNext w:val="0"/>
        <w:keepLines w:val="0"/>
        <w:pageBreakBefore w:val="0"/>
        <w:kinsoku/>
        <w:wordWrap/>
        <w:overflowPunct/>
        <w:topLinePunct w:val="0"/>
        <w:bidi w:val="0"/>
        <w:adjustRightInd/>
        <w:snapToGrid/>
        <w:spacing w:line="360" w:lineRule="auto"/>
        <w:contextualSpacing/>
        <w:textAlignment w:val="auto"/>
        <w:rPr>
          <w:rFonts w:hint="eastAsia" w:ascii="宋体" w:hAnsi="宋体" w:eastAsia="宋体" w:cs="宋体"/>
          <w:color w:val="auto"/>
          <w:sz w:val="22"/>
          <w:szCs w:val="22"/>
          <w:highlight w:val="none"/>
          <w:lang w:eastAsia="zh-CN"/>
        </w:rPr>
      </w:pPr>
      <w:r>
        <w:rPr>
          <w:rFonts w:hint="eastAsia" w:cs="宋体"/>
          <w:color w:val="auto"/>
          <w:sz w:val="22"/>
          <w:szCs w:val="22"/>
          <w:highlight w:val="none"/>
          <w:lang w:eastAsia="zh-CN"/>
        </w:rPr>
        <w:t>采购包1东莞市莞城中心小学食堂食材配送服务项目</w:t>
      </w:r>
    </w:p>
    <w:p w14:paraId="19426C0C">
      <w:pPr>
        <w:keepNext w:val="0"/>
        <w:keepLines w:val="0"/>
        <w:pageBreakBefore w:val="0"/>
        <w:kinsoku/>
        <w:wordWrap/>
        <w:overflowPunct/>
        <w:topLinePunct w:val="0"/>
        <w:autoSpaceDE/>
        <w:autoSpaceDN/>
        <w:bidi w:val="0"/>
        <w:adjustRightInd/>
        <w:snapToGrid/>
        <w:spacing w:line="420" w:lineRule="exact"/>
        <w:contextualSpacing/>
        <w:jc w:val="left"/>
        <w:textAlignment w:val="auto"/>
        <w:outlineLvl w:val="1"/>
        <w:rPr>
          <w:rFonts w:hint="eastAsia" w:ascii="宋体" w:hAnsi="宋体" w:eastAsia="宋体" w:cs="宋体"/>
          <w:b/>
          <w:bCs/>
          <w:color w:val="auto"/>
          <w:sz w:val="22"/>
          <w:szCs w:val="22"/>
          <w:highlight w:val="none"/>
        </w:rPr>
      </w:pPr>
      <w:bookmarkStart w:id="2" w:name="_Toc23464"/>
      <w:r>
        <w:rPr>
          <w:rFonts w:hint="eastAsia" w:ascii="宋体" w:hAnsi="宋体" w:eastAsia="宋体" w:cs="宋体"/>
          <w:b/>
          <w:bCs/>
          <w:color w:val="auto"/>
          <w:sz w:val="22"/>
          <w:szCs w:val="22"/>
          <w:highlight w:val="none"/>
        </w:rPr>
        <w:t>1.主要商务要求</w:t>
      </w:r>
      <w:bookmarkEnd w:id="2"/>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6"/>
        <w:gridCol w:w="6954"/>
      </w:tblGrid>
      <w:tr w14:paraId="0ADA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pct"/>
            <w:noWrap w:val="0"/>
            <w:vAlign w:val="center"/>
          </w:tcPr>
          <w:p w14:paraId="23A86EDB">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标的提供的时间</w:t>
            </w:r>
          </w:p>
        </w:tc>
        <w:tc>
          <w:tcPr>
            <w:tcW w:w="4080" w:type="pct"/>
            <w:noWrap w:val="0"/>
            <w:vAlign w:val="center"/>
          </w:tcPr>
          <w:p w14:paraId="757C6F79">
            <w:pPr>
              <w:keepNext w:val="0"/>
              <w:keepLines w:val="0"/>
              <w:pageBreakBefore w:val="0"/>
              <w:kinsoku/>
              <w:wordWrap/>
              <w:overflowPunct/>
              <w:topLinePunct w:val="0"/>
              <w:autoSpaceDE/>
              <w:autoSpaceDN/>
              <w:bidi w:val="0"/>
              <w:snapToGrid/>
              <w:spacing w:line="42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服务期：合同签订之日起</w:t>
            </w:r>
            <w:r>
              <w:rPr>
                <w:rFonts w:hint="default" w:ascii="宋体" w:hAnsi="宋体" w:eastAsia="宋体" w:cs="宋体"/>
                <w:color w:val="auto"/>
                <w:sz w:val="22"/>
                <w:szCs w:val="22"/>
                <w:highlight w:val="none"/>
                <w:lang w:val="en-US"/>
              </w:rPr>
              <w:t>二</w:t>
            </w:r>
            <w:r>
              <w:rPr>
                <w:rFonts w:hint="eastAsia" w:ascii="宋体" w:hAnsi="宋体" w:eastAsia="宋体" w:cs="宋体"/>
                <w:color w:val="auto"/>
                <w:sz w:val="22"/>
                <w:szCs w:val="22"/>
                <w:highlight w:val="none"/>
              </w:rPr>
              <w:t>年。</w:t>
            </w:r>
          </w:p>
        </w:tc>
      </w:tr>
      <w:tr w14:paraId="7F4B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pct"/>
            <w:noWrap w:val="0"/>
            <w:vAlign w:val="center"/>
          </w:tcPr>
          <w:p w14:paraId="61957661">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标的提供的地</w:t>
            </w:r>
            <w:r>
              <w:rPr>
                <w:rFonts w:hint="eastAsia" w:ascii="宋体" w:hAnsi="宋体" w:eastAsia="宋体" w:cs="宋体"/>
                <w:color w:val="auto"/>
                <w:sz w:val="22"/>
                <w:szCs w:val="22"/>
                <w:highlight w:val="none"/>
                <w:lang w:val="en-US"/>
              </w:rPr>
              <w:t>点</w:t>
            </w:r>
          </w:p>
        </w:tc>
        <w:tc>
          <w:tcPr>
            <w:tcW w:w="4080" w:type="pct"/>
            <w:noWrap w:val="0"/>
            <w:vAlign w:val="center"/>
          </w:tcPr>
          <w:p w14:paraId="20AC68E7">
            <w:pPr>
              <w:keepNext w:val="0"/>
              <w:keepLines w:val="0"/>
              <w:pageBreakBefore w:val="0"/>
              <w:kinsoku/>
              <w:wordWrap/>
              <w:overflowPunct/>
              <w:topLinePunct w:val="0"/>
              <w:autoSpaceDE/>
              <w:autoSpaceDN/>
              <w:bidi w:val="0"/>
              <w:snapToGrid/>
              <w:spacing w:line="420" w:lineRule="exact"/>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采购人指定地点。</w:t>
            </w:r>
          </w:p>
        </w:tc>
      </w:tr>
      <w:tr w14:paraId="3F30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pct"/>
            <w:noWrap w:val="0"/>
            <w:vAlign w:val="center"/>
          </w:tcPr>
          <w:p w14:paraId="12108918">
            <w:pPr>
              <w:keepNext w:val="0"/>
              <w:keepLines w:val="0"/>
              <w:pageBreakBefore w:val="0"/>
              <w:kinsoku/>
              <w:wordWrap/>
              <w:overflowPunct/>
              <w:topLinePunct w:val="0"/>
              <w:autoSpaceDE/>
              <w:autoSpaceDN/>
              <w:bidi w:val="0"/>
              <w:adjustRightInd/>
              <w:snapToGrid/>
              <w:spacing w:line="420" w:lineRule="exact"/>
              <w:contextualSpacing/>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付款方式</w:t>
            </w:r>
          </w:p>
        </w:tc>
        <w:tc>
          <w:tcPr>
            <w:tcW w:w="4080" w:type="pct"/>
            <w:noWrap w:val="0"/>
            <w:vAlign w:val="center"/>
          </w:tcPr>
          <w:p w14:paraId="1F7F1629">
            <w:pPr>
              <w:pStyle w:val="15"/>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val="0"/>
                <w:color w:val="auto"/>
                <w:spacing w:val="0"/>
                <w:kern w:val="2"/>
                <w:sz w:val="22"/>
                <w:szCs w:val="22"/>
                <w:highlight w:val="none"/>
                <w:lang w:eastAsia="zh-CN" w:bidi="ar-SA"/>
              </w:rPr>
            </w:pPr>
            <w:r>
              <w:rPr>
                <w:rFonts w:hint="eastAsia" w:ascii="宋体" w:hAnsi="宋体" w:eastAsia="宋体" w:cs="宋体"/>
                <w:bCs w:val="0"/>
                <w:color w:val="auto"/>
                <w:spacing w:val="0"/>
                <w:kern w:val="2"/>
                <w:sz w:val="22"/>
                <w:szCs w:val="22"/>
                <w:highlight w:val="none"/>
                <w:lang w:val="en-US" w:eastAsia="zh-CN" w:bidi="ar-SA"/>
              </w:rPr>
              <w:t>支付比例：100%，</w:t>
            </w:r>
            <w:r>
              <w:rPr>
                <w:rFonts w:hint="eastAsia" w:ascii="宋体" w:hAnsi="宋体" w:eastAsia="宋体" w:cs="宋体"/>
                <w:bCs w:val="0"/>
                <w:color w:val="auto"/>
                <w:spacing w:val="0"/>
                <w:kern w:val="2"/>
                <w:sz w:val="22"/>
                <w:szCs w:val="22"/>
                <w:highlight w:val="none"/>
                <w:lang w:eastAsia="zh-CN" w:bidi="ar-SA"/>
              </w:rPr>
              <w:t>1、中标供应商凭以下有效文件与采购人结算：合同、中标供应商开具的正式发票、中标通知书、送货清单。</w:t>
            </w:r>
          </w:p>
          <w:p w14:paraId="7819F646">
            <w:pPr>
              <w:pStyle w:val="15"/>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val="0"/>
                <w:color w:val="auto"/>
                <w:spacing w:val="0"/>
                <w:kern w:val="2"/>
                <w:sz w:val="22"/>
                <w:szCs w:val="22"/>
                <w:highlight w:val="none"/>
                <w:lang w:eastAsia="zh-CN" w:bidi="ar-SA"/>
              </w:rPr>
            </w:pPr>
            <w:r>
              <w:rPr>
                <w:rFonts w:hint="eastAsia" w:ascii="宋体" w:hAnsi="宋体" w:eastAsia="宋体" w:cs="宋体"/>
                <w:bCs w:val="0"/>
                <w:color w:val="auto"/>
                <w:spacing w:val="0"/>
                <w:kern w:val="2"/>
                <w:sz w:val="22"/>
                <w:szCs w:val="22"/>
                <w:highlight w:val="none"/>
                <w:lang w:eastAsia="zh-CN" w:bidi="ar-SA"/>
              </w:rPr>
              <w:t>2、结算流程：每月结算一次。中标供应商完成当月供货订单后，于次月凭正式发票及经采购人确认的送货清单，向采购人申请付款，采购人收到申请核对无误后在30日内结清上月所有货款。</w:t>
            </w:r>
          </w:p>
        </w:tc>
      </w:tr>
      <w:tr w14:paraId="5158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7A402705">
            <w:pPr>
              <w:pStyle w:val="15"/>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Cs w:val="0"/>
                <w:color w:val="auto"/>
                <w:spacing w:val="0"/>
                <w:kern w:val="2"/>
                <w:sz w:val="22"/>
                <w:szCs w:val="22"/>
                <w:highlight w:val="none"/>
                <w:lang w:eastAsia="zh-CN" w:bidi="ar-SA"/>
              </w:rPr>
            </w:pPr>
            <w:r>
              <w:rPr>
                <w:rFonts w:hint="eastAsia" w:ascii="宋体" w:hAnsi="宋体" w:eastAsia="宋体" w:cs="宋体"/>
                <w:bCs w:val="0"/>
                <w:color w:val="auto"/>
                <w:spacing w:val="0"/>
                <w:kern w:val="2"/>
                <w:sz w:val="22"/>
                <w:szCs w:val="22"/>
                <w:highlight w:val="none"/>
                <w:lang w:eastAsia="zh-CN" w:bidi="ar-SA"/>
              </w:rPr>
              <w:t>如项目发生合同融资，采购人应当将合同款项支付到合同约定收款账户。</w:t>
            </w:r>
          </w:p>
        </w:tc>
      </w:tr>
      <w:tr w14:paraId="44A5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pct"/>
            <w:noWrap w:val="0"/>
            <w:vAlign w:val="center"/>
          </w:tcPr>
          <w:p w14:paraId="21968220">
            <w:pPr>
              <w:keepNext w:val="0"/>
              <w:keepLines w:val="0"/>
              <w:pageBreakBefore w:val="0"/>
              <w:kinsoku/>
              <w:wordWrap/>
              <w:overflowPunct/>
              <w:topLinePunct w:val="0"/>
              <w:autoSpaceDE/>
              <w:autoSpaceDN/>
              <w:bidi w:val="0"/>
              <w:adjustRightInd/>
              <w:snapToGrid/>
              <w:spacing w:line="420" w:lineRule="exact"/>
              <w:contextualSpacing/>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验收要求</w:t>
            </w:r>
          </w:p>
        </w:tc>
        <w:tc>
          <w:tcPr>
            <w:tcW w:w="4080" w:type="pct"/>
            <w:noWrap w:val="0"/>
            <w:vAlign w:val="center"/>
          </w:tcPr>
          <w:p w14:paraId="5DB6723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1、项目验收依次序对照执行标准：</w:t>
            </w:r>
          </w:p>
          <w:p w14:paraId="60E739E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1.1符合中华人民共和国国家和履约地相关安全质量标准、行业技术规范标准；</w:t>
            </w:r>
          </w:p>
          <w:p w14:paraId="5151D58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1.2符合招标文件和响应承诺中各方共同认可的各项要求；</w:t>
            </w:r>
          </w:p>
          <w:p w14:paraId="51E33FC9">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1.3符合货物来源国官方颁布标准。</w:t>
            </w:r>
            <w:r>
              <w:rPr>
                <w:rFonts w:hint="eastAsia" w:ascii="宋体" w:hAnsi="宋体" w:eastAsia="宋体" w:cs="宋体"/>
                <w:snapToGrid/>
                <w:color w:val="auto"/>
                <w:kern w:val="2"/>
                <w:sz w:val="22"/>
                <w:szCs w:val="22"/>
                <w:highlight w:val="none"/>
                <w:lang w:eastAsia="zh-CN"/>
              </w:rPr>
              <w:tab/>
            </w:r>
          </w:p>
          <w:p w14:paraId="79042359">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上述各类标准与法规必须是有关官方机构最新发布的现行标准版本。</w:t>
            </w:r>
          </w:p>
          <w:p w14:paraId="21DD5A3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做好卸货前的检查。采购人和中标供应商双方的验收人员卸货前应对场地和验收设备做好准备，并对商品的外观质量进行初步了解。如发现食品有损坏情况等，应在相关单据上记录损坏情况，建议对损坏情况进行拍照存档。保证斤两的准确性，经采购人的验货数量为准，中标供应商每次随货送上一式两份的送货单，采购人验货后签订确认，采购人、中标供应商双方各持一份，作为收货、结算的凭证。</w:t>
            </w:r>
          </w:p>
          <w:p w14:paraId="0825D55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食品运输必须采用符合国家标准的外包装和运输工具，保持清洁和定期消毒，车厢内无不良气味、异味。冷藏、冷冻食品在运输过程中保持安全的冷藏、冷冻温度，冷冻食品没有曾经解冻痕迹或软化现象，包装呈干爽状态。食品应清洁，无损伤、腐烂现象，外包装完整，无寄生虫或已受虫害现象。</w:t>
            </w:r>
          </w:p>
          <w:p w14:paraId="6B9B3CC0">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采取现场验收的方式，验收人员应认真检查物资的质量，按索票—验证—抽查—过磅—入库的程序完成验收，中标供应商可提供原件的留原件，原件只有一份而无法提供给采购人的查验原件后索取复印件留存。</w:t>
            </w:r>
          </w:p>
          <w:p w14:paraId="724BCA8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5、每批次每种货物均抽查验收。</w:t>
            </w:r>
          </w:p>
          <w:p w14:paraId="7F0A0D69">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6、按后附产品质量描述对货物质量进行抽查。</w:t>
            </w:r>
          </w:p>
          <w:p w14:paraId="52012E0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7、抽查发现食品安全质量问题的处理：</w:t>
            </w:r>
          </w:p>
          <w:p w14:paraId="7026DF7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①对危及人身安全的食品质量问题采取零容忍措施，一经发现，当日所送同批次产品全部退货，如水产品中发现河豚鱼，发现腐败变质肉类等；</w:t>
            </w:r>
          </w:p>
          <w:p w14:paraId="58BB933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②若抽查未发现问题，而在加工食用前发现部分产品质量问题，应立即通知单位伙食物资验收小组及中标供应商，将问题产品退货处理。</w:t>
            </w:r>
          </w:p>
          <w:p w14:paraId="7F330B4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8、抽查发现资质证照不全问题的处理：</w:t>
            </w:r>
          </w:p>
          <w:p w14:paraId="2A73AF9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①整批产品无政府部门出具的动植物检疫合格证明的全部退货；</w:t>
            </w:r>
          </w:p>
          <w:p w14:paraId="79A4F29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②抽查发现部分产品无政府部门出具的动植物检疫合格证明，加抽15%，两次抽查数50%以上没有动植物检疫合格证明的，全部退货；没有动植物检疫合格证明的，将无动植物检疫合格证明的货物退货；</w:t>
            </w:r>
          </w:p>
          <w:p w14:paraId="104CC67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③整批产品有省地市出具的动植物检疫合格证明，随箱产品合格证不齐全的，加抽15%，两次抽查数50%以上没有产品合格证的，全部退货；没有产品合格证明的，将无产品合格证明的货物退货。</w:t>
            </w:r>
          </w:p>
          <w:p w14:paraId="704665BF">
            <w:pPr>
              <w:pStyle w:val="15"/>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bCs w:val="0"/>
                <w:color w:val="auto"/>
                <w:spacing w:val="0"/>
                <w:kern w:val="2"/>
                <w:sz w:val="22"/>
                <w:szCs w:val="22"/>
                <w:highlight w:val="none"/>
                <w:lang w:val="en-US" w:eastAsia="zh-CN" w:bidi="ar-SA"/>
              </w:rPr>
            </w:pPr>
            <w:r>
              <w:rPr>
                <w:rFonts w:hint="eastAsia" w:ascii="宋体" w:hAnsi="宋体" w:eastAsia="宋体" w:cs="宋体"/>
                <w:snapToGrid/>
                <w:color w:val="auto"/>
                <w:kern w:val="2"/>
                <w:sz w:val="22"/>
                <w:szCs w:val="22"/>
                <w:highlight w:val="none"/>
                <w:lang w:eastAsia="zh-CN"/>
              </w:rPr>
              <w:t>9、货物的质量问题争议及解决办法：因货物的质量问题发生争议，由</w:t>
            </w:r>
            <w:r>
              <w:rPr>
                <w:rFonts w:hint="eastAsia" w:ascii="宋体" w:hAnsi="宋体" w:eastAsia="宋体" w:cs="宋体"/>
                <w:snapToGrid/>
                <w:color w:val="auto"/>
                <w:kern w:val="2"/>
                <w:sz w:val="22"/>
                <w:szCs w:val="22"/>
                <w:highlight w:val="none"/>
                <w:lang w:eastAsia="zh-CN"/>
              </w:rPr>
              <w:t>东莞市</w:t>
            </w:r>
            <w:r>
              <w:rPr>
                <w:rFonts w:hint="eastAsia" w:ascii="宋体" w:hAnsi="宋体" w:eastAsia="宋体" w:cs="宋体"/>
                <w:snapToGrid/>
                <w:color w:val="auto"/>
                <w:kern w:val="2"/>
                <w:sz w:val="22"/>
                <w:szCs w:val="22"/>
                <w:highlight w:val="none"/>
                <w:lang w:val="en-US" w:eastAsia="zh-CN"/>
              </w:rPr>
              <w:t>市场</w:t>
            </w:r>
            <w:r>
              <w:rPr>
                <w:rFonts w:hint="eastAsia" w:ascii="宋体" w:hAnsi="宋体" w:eastAsia="宋体" w:cs="宋体"/>
                <w:snapToGrid/>
                <w:color w:val="auto"/>
                <w:kern w:val="2"/>
                <w:sz w:val="22"/>
                <w:szCs w:val="22"/>
                <w:highlight w:val="none"/>
                <w:lang w:eastAsia="zh-CN"/>
              </w:rPr>
              <w:t>监督管理局</w:t>
            </w:r>
            <w:r>
              <w:rPr>
                <w:rFonts w:hint="eastAsia" w:ascii="宋体" w:hAnsi="宋体" w:eastAsia="宋体" w:cs="宋体"/>
                <w:snapToGrid/>
                <w:color w:val="auto"/>
                <w:kern w:val="2"/>
                <w:sz w:val="22"/>
                <w:szCs w:val="22"/>
                <w:highlight w:val="none"/>
                <w:lang w:eastAsia="zh-CN"/>
              </w:rPr>
              <w:t>或国家法定的质量鉴定相关单位进行质量鉴定。货物符合质量标准的，鉴定费由采购人承担；货物不符合质量标准的，鉴定费由中标供应商承担，并且采购人有权追究中标供应商的相关责任。</w:t>
            </w:r>
          </w:p>
        </w:tc>
      </w:tr>
      <w:tr w14:paraId="2427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pct"/>
            <w:noWrap w:val="0"/>
            <w:vAlign w:val="center"/>
          </w:tcPr>
          <w:p w14:paraId="05FAE3A2">
            <w:pPr>
              <w:keepNext w:val="0"/>
              <w:keepLines w:val="0"/>
              <w:pageBreakBefore w:val="0"/>
              <w:kinsoku/>
              <w:wordWrap/>
              <w:overflowPunct/>
              <w:topLinePunct w:val="0"/>
              <w:autoSpaceDE/>
              <w:autoSpaceDN/>
              <w:bidi w:val="0"/>
              <w:adjustRightInd/>
              <w:snapToGrid/>
              <w:spacing w:line="420" w:lineRule="exact"/>
              <w:contextualSpacing/>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履约保证金</w:t>
            </w:r>
          </w:p>
        </w:tc>
        <w:tc>
          <w:tcPr>
            <w:tcW w:w="4080" w:type="pct"/>
            <w:noWrap w:val="0"/>
            <w:vAlign w:val="center"/>
          </w:tcPr>
          <w:p w14:paraId="71B2E4E1">
            <w:pPr>
              <w:pStyle w:val="15"/>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bCs w:val="0"/>
                <w:color w:val="auto"/>
                <w:spacing w:val="0"/>
                <w:kern w:val="2"/>
                <w:sz w:val="22"/>
                <w:szCs w:val="22"/>
                <w:highlight w:val="none"/>
                <w:lang w:val="en-US" w:eastAsia="zh-CN" w:bidi="ar-SA"/>
              </w:rPr>
            </w:pPr>
            <w:r>
              <w:rPr>
                <w:rFonts w:hint="eastAsia" w:ascii="宋体" w:hAnsi="宋体" w:eastAsia="宋体" w:cs="宋体"/>
                <w:bCs w:val="0"/>
                <w:color w:val="auto"/>
                <w:spacing w:val="0"/>
                <w:kern w:val="2"/>
                <w:sz w:val="22"/>
                <w:szCs w:val="22"/>
                <w:highlight w:val="none"/>
                <w:lang w:val="en-US" w:eastAsia="zh-CN" w:bidi="ar-SA"/>
              </w:rPr>
              <w:t>不</w:t>
            </w:r>
            <w:r>
              <w:rPr>
                <w:rFonts w:hint="eastAsia" w:ascii="宋体" w:hAnsi="宋体" w:eastAsia="宋体" w:cs="宋体"/>
                <w:bCs w:val="0"/>
                <w:color w:val="auto"/>
                <w:spacing w:val="0"/>
                <w:kern w:val="2"/>
                <w:sz w:val="22"/>
                <w:szCs w:val="22"/>
                <w:highlight w:val="none"/>
                <w:lang w:eastAsia="zh-CN" w:bidi="ar-SA"/>
              </w:rPr>
              <w:t>收取。</w:t>
            </w:r>
          </w:p>
        </w:tc>
      </w:tr>
      <w:tr w14:paraId="36A4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 w:type="pct"/>
            <w:noWrap w:val="0"/>
            <w:vAlign w:val="center"/>
          </w:tcPr>
          <w:p w14:paraId="4ECEBE83">
            <w:pPr>
              <w:keepNext w:val="0"/>
              <w:keepLines w:val="0"/>
              <w:pageBreakBefore w:val="0"/>
              <w:kinsoku/>
              <w:wordWrap/>
              <w:overflowPunct/>
              <w:topLinePunct w:val="0"/>
              <w:autoSpaceDE/>
              <w:autoSpaceDN/>
              <w:bidi w:val="0"/>
              <w:adjustRightInd/>
              <w:snapToGrid/>
              <w:spacing w:line="420" w:lineRule="exact"/>
              <w:contextualSpacing/>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rPr>
              <w:t>其他</w:t>
            </w:r>
          </w:p>
        </w:tc>
        <w:tc>
          <w:tcPr>
            <w:tcW w:w="4080" w:type="pct"/>
            <w:noWrap w:val="0"/>
            <w:vAlign w:val="center"/>
          </w:tcPr>
          <w:p w14:paraId="4508DFA7">
            <w:pPr>
              <w:keepNext w:val="0"/>
              <w:keepLines w:val="0"/>
              <w:pageBreakBefore w:val="0"/>
              <w:kinsoku/>
              <w:wordWrap/>
              <w:overflowPunct/>
              <w:topLinePunct w:val="0"/>
              <w:autoSpaceDE/>
              <w:autoSpaceDN/>
              <w:bidi w:val="0"/>
              <w:snapToGrid/>
              <w:spacing w:line="420" w:lineRule="exact"/>
              <w:jc w:val="both"/>
              <w:textAlignment w:val="auto"/>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szCs w:val="22"/>
                <w:highlight w:val="none"/>
                <w:lang w:val="en-US"/>
              </w:rPr>
              <w:t>合同条款:投标人实质响应合同各条款。</w:t>
            </w:r>
          </w:p>
          <w:p w14:paraId="5118F74A">
            <w:pPr>
              <w:keepNext w:val="0"/>
              <w:keepLines w:val="0"/>
              <w:pageBreakBefore w:val="0"/>
              <w:widowControl/>
              <w:kinsoku/>
              <w:wordWrap/>
              <w:overflowPunct/>
              <w:topLinePunct w:val="0"/>
              <w:autoSpaceDE/>
              <w:autoSpaceDN/>
              <w:bidi w:val="0"/>
              <w:adjustRightInd/>
              <w:snapToGrid/>
              <w:spacing w:line="420" w:lineRule="exact"/>
              <w:ind w:firstLine="0" w:firstLine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★二、报价及定价要求：</w:t>
            </w:r>
          </w:p>
          <w:p w14:paraId="59551BF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1、本项目以优惠率报价。</w:t>
            </w:r>
          </w:p>
          <w:p w14:paraId="21979DC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2、采购人和中标供应商按以下方式确定供货价格，结算公式：结算价格＝基准价×（1-中标优惠率）×实际供货数量。</w:t>
            </w:r>
          </w:p>
          <w:p w14:paraId="122330E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3、基准价定价方式：在邻近市场零售价与东莞市菜篮子价格监测表价格之间取较低值。</w:t>
            </w:r>
          </w:p>
          <w:p w14:paraId="3471875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①邻近市场零售价：对莞城细村市场、南城沙苑市场、万江蟹地市场同一供货商品的市场零售价进行抽样调查，结算基准价=邻近三个市场抽样价格之和÷3；</w:t>
            </w:r>
          </w:p>
          <w:p w14:paraId="3AADADF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②东莞市菜篮子价格监测表价格：以东莞市发展和改革局官方网站价格管理专栏中《东莞市菜篮子价格监测表》当期价格作为结算基准价(http://dgdp.dg.gov.cn/jggl/spjg/index.html)</w:t>
            </w:r>
          </w:p>
          <w:p w14:paraId="29AD20F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以上述两者中较低值为结算基准价，若上述两者中均无对应商品价格，由采购人与中标供应商协商确定对应商品的供货渠道及供货价格。</w:t>
            </w:r>
          </w:p>
          <w:p w14:paraId="100C186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4</w:t>
            </w:r>
            <w:r>
              <w:rPr>
                <w:rFonts w:hint="eastAsia" w:ascii="宋体" w:hAnsi="宋体" w:eastAsia="宋体" w:cs="宋体"/>
                <w:snapToGrid/>
                <w:color w:val="auto"/>
                <w:kern w:val="2"/>
                <w:sz w:val="22"/>
                <w:szCs w:val="22"/>
                <w:highlight w:val="none"/>
                <w:lang w:eastAsia="zh-CN"/>
              </w:rPr>
              <w:t>、若遇台风、暴雨等意外原因造成的个别品种价格需临时调整，应通知采购人，并征得采购人同意后方可调整，每次送货按通知价格计算。</w:t>
            </w:r>
          </w:p>
          <w:p w14:paraId="5B51ADA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5</w:t>
            </w:r>
            <w:r>
              <w:rPr>
                <w:rFonts w:hint="eastAsia" w:ascii="宋体" w:hAnsi="宋体" w:eastAsia="宋体" w:cs="宋体"/>
                <w:snapToGrid/>
                <w:color w:val="auto"/>
                <w:kern w:val="2"/>
                <w:sz w:val="22"/>
                <w:szCs w:val="22"/>
                <w:highlight w:val="none"/>
                <w:lang w:eastAsia="zh-CN"/>
              </w:rPr>
              <w:t>、定价周期：每15天更新一次，中标供应商每次至少提前2天提交下次报价清单及相关报价依据材料给采购人审核，双方签字后生效。</w:t>
            </w:r>
          </w:p>
          <w:p w14:paraId="5E8EFEA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6</w:t>
            </w:r>
            <w:r>
              <w:rPr>
                <w:rFonts w:hint="eastAsia" w:ascii="宋体" w:hAnsi="宋体" w:eastAsia="宋体" w:cs="宋体"/>
                <w:snapToGrid/>
                <w:color w:val="auto"/>
                <w:kern w:val="2"/>
                <w:sz w:val="22"/>
                <w:szCs w:val="22"/>
                <w:highlight w:val="none"/>
                <w:lang w:eastAsia="zh-CN"/>
              </w:rPr>
              <w:t>、如某种食材须根据采购人要求，在当地或指定合法渠道进行采购配送的，中标供应商须与采购人商讨确定合理价格，签字确认后按要求供货。</w:t>
            </w:r>
          </w:p>
          <w:p w14:paraId="3325D801">
            <w:pPr>
              <w:keepNext w:val="0"/>
              <w:keepLines w:val="0"/>
              <w:pageBreakBefore w:val="0"/>
              <w:kinsoku/>
              <w:wordWrap/>
              <w:overflowPunct/>
              <w:topLinePunct w:val="0"/>
              <w:autoSpaceDE/>
              <w:autoSpaceDN/>
              <w:bidi w:val="0"/>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7</w:t>
            </w:r>
            <w:r>
              <w:rPr>
                <w:rFonts w:hint="eastAsia" w:ascii="宋体" w:hAnsi="宋体" w:eastAsia="宋体" w:cs="宋体"/>
                <w:snapToGrid/>
                <w:color w:val="auto"/>
                <w:kern w:val="2"/>
                <w:sz w:val="22"/>
                <w:szCs w:val="22"/>
                <w:highlight w:val="none"/>
                <w:lang w:eastAsia="zh-CN"/>
              </w:rPr>
              <w:t>、所供货物价格包含一切费用，包括购置费、包装费、运输费、装卸费、搬运费、储存费、人工费、保险费、检验检疫费、质量检测费、各种税费等，并承担送货途中的一切风险。</w:t>
            </w:r>
          </w:p>
          <w:p w14:paraId="50000DCF">
            <w:pPr>
              <w:pStyle w:val="15"/>
              <w:keepNext w:val="0"/>
              <w:keepLines w:val="0"/>
              <w:pageBreakBefore w:val="0"/>
              <w:kinsoku/>
              <w:wordWrap/>
              <w:overflowPunct/>
              <w:topLinePunct w:val="0"/>
              <w:autoSpaceDE/>
              <w:autoSpaceDN/>
              <w:bidi w:val="0"/>
              <w:adjustRightInd/>
              <w:snapToGrid/>
              <w:spacing w:line="420" w:lineRule="exact"/>
              <w:textAlignment w:val="auto"/>
              <w:rPr>
                <w:rFonts w:hint="default" w:ascii="宋体" w:hAnsi="宋体" w:eastAsia="宋体" w:cs="宋体"/>
                <w:bCs w:val="0"/>
                <w:color w:val="auto"/>
                <w:spacing w:val="0"/>
                <w:kern w:val="2"/>
                <w:sz w:val="22"/>
                <w:szCs w:val="22"/>
                <w:highlight w:val="none"/>
                <w:lang w:val="en-US" w:eastAsia="zh-CN" w:bidi="ar-SA"/>
              </w:rPr>
            </w:pPr>
            <w:r>
              <w:rPr>
                <w:rFonts w:hint="eastAsia" w:ascii="宋体" w:hAnsi="宋体" w:eastAsia="宋体" w:cs="宋体"/>
                <w:snapToGrid/>
                <w:color w:val="auto"/>
                <w:kern w:val="2"/>
                <w:sz w:val="22"/>
                <w:szCs w:val="22"/>
                <w:highlight w:val="none"/>
                <w:lang w:val="en-US" w:eastAsia="zh-CN"/>
              </w:rPr>
              <w:t>三、服务团队和服务时间要求：中标供应商</w:t>
            </w:r>
            <w:r>
              <w:rPr>
                <w:rFonts w:hint="eastAsia" w:ascii="宋体" w:hAnsi="宋体" w:eastAsia="宋体" w:cs="宋体"/>
                <w:bCs w:val="0"/>
                <w:color w:val="auto"/>
                <w:spacing w:val="0"/>
                <w:kern w:val="2"/>
                <w:sz w:val="22"/>
                <w:szCs w:val="22"/>
                <w:highlight w:val="none"/>
                <w:lang w:val="en-US" w:eastAsia="zh-CN" w:bidi="ar-SA"/>
              </w:rPr>
              <w:t>应专门设立符合学校配送标准的“莞城中心小学专门事务部”及相应工作群，部门成员包括但不限于采购、质检、配送、应急等各环节一线经办人员（莞城中心小学相关事宜）。</w:t>
            </w:r>
            <w:r>
              <w:rPr>
                <w:rFonts w:hint="eastAsia" w:ascii="宋体" w:hAnsi="宋体" w:eastAsia="宋体" w:cs="宋体"/>
                <w:snapToGrid/>
                <w:color w:val="auto"/>
                <w:kern w:val="2"/>
                <w:sz w:val="22"/>
                <w:szCs w:val="22"/>
                <w:highlight w:val="none"/>
                <w:lang w:val="en-US" w:eastAsia="zh-CN"/>
              </w:rPr>
              <w:t>中标供应商</w:t>
            </w:r>
            <w:r>
              <w:rPr>
                <w:rFonts w:hint="eastAsia" w:ascii="宋体" w:hAnsi="宋体" w:eastAsia="宋体" w:cs="宋体"/>
                <w:bCs w:val="0"/>
                <w:color w:val="auto"/>
                <w:spacing w:val="0"/>
                <w:kern w:val="2"/>
                <w:sz w:val="22"/>
                <w:szCs w:val="22"/>
                <w:highlight w:val="none"/>
                <w:lang w:val="en-US" w:eastAsia="zh-CN" w:bidi="ar-SA"/>
              </w:rPr>
              <w:t>须结合莞城中心小学实际需求情况，调整上述部门成员工作时间、工作范围、工作优先级等，确保可及时响应采购人需求，逾期响应将影响供应商服务情况考核。工作时间须与采购人工作时间保持一致（工作日上午5：30至中午12：00），具体要求由双方另行沟通确定。</w:t>
            </w:r>
          </w:p>
          <w:p w14:paraId="6E78997D">
            <w:pPr>
              <w:keepNext w:val="0"/>
              <w:keepLines w:val="0"/>
              <w:pageBreakBefore w:val="0"/>
              <w:widowControl/>
              <w:kinsoku/>
              <w:wordWrap/>
              <w:overflowPunct/>
              <w:topLinePunct w:val="0"/>
              <w:autoSpaceDE/>
              <w:autoSpaceDN/>
              <w:bidi w:val="0"/>
              <w:snapToGrid/>
              <w:spacing w:line="420" w:lineRule="exact"/>
              <w:jc w:val="both"/>
              <w:textAlignment w:val="auto"/>
              <w:rPr>
                <w:rFonts w:hint="eastAsia" w:ascii="宋体" w:hAnsi="宋体" w:eastAsia="宋体" w:cs="宋体"/>
                <w:color w:val="auto"/>
                <w:sz w:val="22"/>
                <w:szCs w:val="22"/>
                <w:highlight w:val="none"/>
                <w:lang w:val="en-US" w:eastAsia="zh-CN"/>
              </w:rPr>
            </w:pPr>
            <w:r>
              <w:rPr>
                <w:rFonts w:hint="eastAsia"/>
                <w:color w:val="auto"/>
                <w:highlight w:val="none"/>
                <w:lang w:val="en-US" w:eastAsia="zh-CN"/>
              </w:rPr>
              <w:t>四</w:t>
            </w:r>
            <w:r>
              <w:rPr>
                <w:rFonts w:hint="eastAsia" w:ascii="宋体" w:hAnsi="宋体" w:eastAsia="宋体" w:cs="宋体"/>
                <w:color w:val="auto"/>
                <w:sz w:val="22"/>
                <w:szCs w:val="22"/>
                <w:highlight w:val="none"/>
                <w:lang w:val="en-US" w:eastAsia="zh-CN"/>
              </w:rPr>
              <w:t>、原料配送：1、不得将食品与有毒有害物品混装配送，运输食品和运输有毒有害物品的车辆不得混用。2、配送人员应具备有效健康证明。3、应保持运输车辆的清洁，每次运输食品前和运输食品后应进行清洗消毒。</w:t>
            </w:r>
          </w:p>
          <w:p w14:paraId="006821BF">
            <w:pPr>
              <w:keepNext w:val="0"/>
              <w:keepLines w:val="0"/>
              <w:pageBreakBefore w:val="0"/>
              <w:widowControl/>
              <w:kinsoku/>
              <w:wordWrap/>
              <w:overflowPunct/>
              <w:topLinePunct w:val="0"/>
              <w:autoSpaceDE/>
              <w:autoSpaceDN/>
              <w:bidi w:val="0"/>
              <w:snapToGrid/>
              <w:spacing w:line="420" w:lineRule="exact"/>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五、进货查验与索证索票：1、严格规范大宗食材进货查验，遵循“双人或多人联检”查验制度，查验人员至少包含学校食品安全员和食堂管理人员，集体验收，公开透明，如学校要求录音录像并保留影像资料，清晰详实记录进货查验情况时，供应商须无条件配合。</w:t>
            </w:r>
          </w:p>
          <w:p w14:paraId="77F89853">
            <w:pPr>
              <w:keepNext w:val="0"/>
              <w:keepLines w:val="0"/>
              <w:widowControl/>
              <w:spacing w:line="420" w:lineRule="exact"/>
              <w:rPr>
                <w:rFonts w:hint="default"/>
                <w:color w:val="auto"/>
                <w:highlight w:val="none"/>
                <w:lang w:val="en-US"/>
              </w:rPr>
            </w:pPr>
            <w:r>
              <w:rPr>
                <w:rFonts w:hint="eastAsia" w:ascii="宋体" w:hAnsi="宋体" w:eastAsia="宋体" w:cs="宋体"/>
                <w:color w:val="auto"/>
                <w:sz w:val="22"/>
                <w:szCs w:val="22"/>
                <w:highlight w:val="none"/>
                <w:lang w:val="en-US" w:eastAsia="zh-CN"/>
              </w:rPr>
              <w:t>2、食材进校验收将综合运用“望、闻、问、切”等多种方式，核对重量，核对生产日期和保质期，重点核查以下事项，核对包装完整性，核对食材一致性；查看食材色泽、形态；确认食材是否有异味。3、采购原材料应索取产品合格证以及同批次检验（测）报告。采购畜禽肉类时，需具备动物产品检疫合格证明，猪肉还需附有非洲猪瘟检测证明、肉品品质检验合格证明。4、进货查验记录和相关凭证的保存期限不少于产品保质期满后6个月；无明确保质期的，保存期限不少于2年。其他各项记录保存期限宜为2年。</w:t>
            </w:r>
          </w:p>
        </w:tc>
      </w:tr>
    </w:tbl>
    <w:p w14:paraId="493FC805">
      <w:pPr>
        <w:keepNext w:val="0"/>
        <w:keepLines w:val="0"/>
        <w:pageBreakBefore w:val="0"/>
        <w:kinsoku/>
        <w:wordWrap/>
        <w:overflowPunct/>
        <w:topLinePunct w:val="0"/>
        <w:autoSpaceDE/>
        <w:autoSpaceDN/>
        <w:bidi w:val="0"/>
        <w:adjustRightInd/>
        <w:snapToGrid/>
        <w:spacing w:line="420" w:lineRule="exact"/>
        <w:ind w:firstLine="440" w:firstLineChars="200"/>
        <w:contextualSpacing/>
        <w:jc w:val="left"/>
        <w:textAlignment w:val="auto"/>
        <w:rPr>
          <w:rFonts w:hint="eastAsia" w:ascii="宋体" w:hAnsi="宋体" w:eastAsia="宋体" w:cs="宋体"/>
          <w:color w:val="auto"/>
          <w:sz w:val="22"/>
          <w:szCs w:val="22"/>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7882"/>
      </w:tblGrid>
      <w:tr w14:paraId="36BB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noWrap w:val="0"/>
            <w:vAlign w:val="center"/>
          </w:tcPr>
          <w:p w14:paraId="432D11EE">
            <w:pPr>
              <w:keepNext w:val="0"/>
              <w:keepLines w:val="0"/>
              <w:pageBreakBefore w:val="0"/>
              <w:kinsoku/>
              <w:wordWrap/>
              <w:overflowPunct/>
              <w:topLinePunct w:val="0"/>
              <w:autoSpaceDE/>
              <w:autoSpaceDN/>
              <w:bidi w:val="0"/>
              <w:adjustRightInd/>
              <w:snapToGrid/>
              <w:spacing w:line="420" w:lineRule="exact"/>
              <w:contextualSpacing/>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w:t>
            </w:r>
          </w:p>
        </w:tc>
        <w:tc>
          <w:tcPr>
            <w:tcW w:w="10058" w:type="dxa"/>
            <w:noWrap w:val="0"/>
            <w:vAlign w:val="center"/>
          </w:tcPr>
          <w:p w14:paraId="51DF7C26">
            <w:pPr>
              <w:keepNext w:val="0"/>
              <w:keepLines w:val="0"/>
              <w:pageBreakBefore w:val="0"/>
              <w:widowControl/>
              <w:kinsoku/>
              <w:wordWrap/>
              <w:overflowPunct/>
              <w:topLinePunct w:val="0"/>
              <w:autoSpaceDE/>
              <w:autoSpaceDN/>
              <w:bidi w:val="0"/>
              <w:adjustRightInd/>
              <w:snapToGrid/>
              <w:spacing w:line="420" w:lineRule="exact"/>
              <w:contextualSpacing/>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打“★”号条款为实质性条款，若有任何一条负偏离或不满足则导致投标（响应）无效。</w:t>
            </w:r>
          </w:p>
          <w:p w14:paraId="31DA27A4">
            <w:pPr>
              <w:keepNext w:val="0"/>
              <w:keepLines w:val="0"/>
              <w:pageBreakBefore w:val="0"/>
              <w:widowControl/>
              <w:kinsoku/>
              <w:wordWrap/>
              <w:overflowPunct/>
              <w:topLinePunct w:val="0"/>
              <w:autoSpaceDE/>
              <w:autoSpaceDN/>
              <w:bidi w:val="0"/>
              <w:adjustRightInd/>
              <w:snapToGrid/>
              <w:spacing w:line="420" w:lineRule="exact"/>
              <w:contextualSpacing/>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打“▲”号条款为重要参数（如有），若有部分“▲”条款未响应或不满足，将根据评审要求影响其得分，但不作为无效投标（响应）条款。</w:t>
            </w:r>
          </w:p>
        </w:tc>
      </w:tr>
    </w:tbl>
    <w:p w14:paraId="22984492">
      <w:pPr>
        <w:keepNext w:val="0"/>
        <w:keepLines w:val="0"/>
        <w:pageBreakBefore w:val="0"/>
        <w:kinsoku/>
        <w:wordWrap/>
        <w:overflowPunct/>
        <w:topLinePunct w:val="0"/>
        <w:autoSpaceDE/>
        <w:autoSpaceDN/>
        <w:bidi w:val="0"/>
        <w:adjustRightInd/>
        <w:snapToGrid/>
        <w:spacing w:line="420" w:lineRule="exact"/>
        <w:ind w:firstLine="440" w:firstLineChars="200"/>
        <w:contextualSpacing/>
        <w:jc w:val="left"/>
        <w:textAlignment w:val="auto"/>
        <w:rPr>
          <w:rFonts w:hint="eastAsia" w:ascii="宋体" w:hAnsi="宋体" w:eastAsia="宋体" w:cs="宋体"/>
          <w:color w:val="auto"/>
          <w:sz w:val="22"/>
          <w:szCs w:val="22"/>
          <w:highlight w:val="none"/>
        </w:rPr>
      </w:pPr>
    </w:p>
    <w:p w14:paraId="2949A258">
      <w:pPr>
        <w:keepNext w:val="0"/>
        <w:keepLines w:val="0"/>
        <w:pageBreakBefore w:val="0"/>
        <w:kinsoku/>
        <w:wordWrap/>
        <w:overflowPunct/>
        <w:topLinePunct w:val="0"/>
        <w:autoSpaceDE/>
        <w:autoSpaceDN/>
        <w:bidi w:val="0"/>
        <w:adjustRightInd/>
        <w:snapToGrid/>
        <w:spacing w:line="420" w:lineRule="exact"/>
        <w:contextualSpacing/>
        <w:jc w:val="left"/>
        <w:textAlignment w:val="auto"/>
        <w:outlineLvl w:val="1"/>
        <w:rPr>
          <w:rFonts w:hint="eastAsia" w:ascii="宋体" w:hAnsi="宋体" w:eastAsia="宋体" w:cs="宋体"/>
          <w:b/>
          <w:bCs/>
          <w:color w:val="auto"/>
          <w:sz w:val="22"/>
          <w:szCs w:val="22"/>
          <w:highlight w:val="none"/>
        </w:rPr>
      </w:pPr>
      <w:bookmarkStart w:id="3" w:name="_Toc25820"/>
      <w:r>
        <w:rPr>
          <w:rFonts w:hint="eastAsia" w:ascii="宋体" w:hAnsi="宋体" w:eastAsia="宋体" w:cs="宋体"/>
          <w:b/>
          <w:bCs/>
          <w:color w:val="auto"/>
          <w:sz w:val="22"/>
          <w:szCs w:val="22"/>
          <w:highlight w:val="none"/>
        </w:rPr>
        <w:t>2.技术标准与要求</w:t>
      </w:r>
      <w:bookmarkEnd w:id="3"/>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723"/>
        <w:gridCol w:w="1468"/>
        <w:gridCol w:w="493"/>
        <w:gridCol w:w="493"/>
        <w:gridCol w:w="1789"/>
        <w:gridCol w:w="1789"/>
        <w:gridCol w:w="608"/>
        <w:gridCol w:w="666"/>
      </w:tblGrid>
      <w:tr w14:paraId="1CC4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6301CCC2">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0" w:type="auto"/>
            <w:noWrap w:val="0"/>
            <w:vAlign w:val="center"/>
          </w:tcPr>
          <w:p w14:paraId="5026EE8E">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品目名称</w:t>
            </w:r>
          </w:p>
        </w:tc>
        <w:tc>
          <w:tcPr>
            <w:tcW w:w="0" w:type="auto"/>
            <w:noWrap w:val="0"/>
            <w:vAlign w:val="center"/>
          </w:tcPr>
          <w:p w14:paraId="5E82990A">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标的名称</w:t>
            </w:r>
          </w:p>
        </w:tc>
        <w:tc>
          <w:tcPr>
            <w:tcW w:w="0" w:type="auto"/>
            <w:noWrap w:val="0"/>
            <w:vAlign w:val="center"/>
          </w:tcPr>
          <w:p w14:paraId="7A1323C8">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c>
          <w:tcPr>
            <w:tcW w:w="0" w:type="auto"/>
            <w:noWrap w:val="0"/>
            <w:vAlign w:val="center"/>
          </w:tcPr>
          <w:p w14:paraId="48CD2ADC">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0" w:type="auto"/>
            <w:noWrap w:val="0"/>
            <w:vAlign w:val="center"/>
          </w:tcPr>
          <w:p w14:paraId="65C400F0">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分项预算单价（元）</w:t>
            </w:r>
          </w:p>
        </w:tc>
        <w:tc>
          <w:tcPr>
            <w:tcW w:w="0" w:type="auto"/>
            <w:noWrap w:val="0"/>
            <w:vAlign w:val="center"/>
          </w:tcPr>
          <w:p w14:paraId="39AB94F3">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分项预算总价（元）</w:t>
            </w:r>
          </w:p>
        </w:tc>
        <w:tc>
          <w:tcPr>
            <w:tcW w:w="0" w:type="auto"/>
            <w:noWrap w:val="0"/>
            <w:vAlign w:val="center"/>
          </w:tcPr>
          <w:p w14:paraId="39041F06">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所属行业</w:t>
            </w:r>
          </w:p>
        </w:tc>
        <w:tc>
          <w:tcPr>
            <w:tcW w:w="0" w:type="auto"/>
            <w:noWrap w:val="0"/>
            <w:vAlign w:val="center"/>
          </w:tcPr>
          <w:p w14:paraId="47B0D32F">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技术要求</w:t>
            </w:r>
          </w:p>
        </w:tc>
      </w:tr>
      <w:tr w14:paraId="4D3E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3FD226DB">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0" w:type="auto"/>
            <w:noWrap w:val="0"/>
            <w:vAlign w:val="center"/>
          </w:tcPr>
          <w:p w14:paraId="7411823C">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其他批发服务</w:t>
            </w:r>
          </w:p>
        </w:tc>
        <w:tc>
          <w:tcPr>
            <w:tcW w:w="0" w:type="auto"/>
            <w:noWrap w:val="0"/>
            <w:vAlign w:val="center"/>
          </w:tcPr>
          <w:p w14:paraId="53D22CEB">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东莞市莞城中心小学食堂食材配送服务项目</w:t>
            </w:r>
          </w:p>
        </w:tc>
        <w:tc>
          <w:tcPr>
            <w:tcW w:w="0" w:type="auto"/>
            <w:noWrap w:val="0"/>
            <w:vAlign w:val="center"/>
          </w:tcPr>
          <w:p w14:paraId="654C7E2F">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项</w:t>
            </w:r>
          </w:p>
        </w:tc>
        <w:tc>
          <w:tcPr>
            <w:tcW w:w="0" w:type="auto"/>
            <w:noWrap w:val="0"/>
            <w:vAlign w:val="center"/>
          </w:tcPr>
          <w:p w14:paraId="7F680734">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0" w:type="auto"/>
            <w:noWrap w:val="0"/>
            <w:vAlign w:val="center"/>
          </w:tcPr>
          <w:p w14:paraId="66E7115D">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21,406,000.00</w:t>
            </w:r>
          </w:p>
        </w:tc>
        <w:tc>
          <w:tcPr>
            <w:tcW w:w="0" w:type="auto"/>
            <w:noWrap w:val="0"/>
            <w:vAlign w:val="center"/>
          </w:tcPr>
          <w:p w14:paraId="75649C26">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21,406,000.00</w:t>
            </w:r>
          </w:p>
        </w:tc>
        <w:tc>
          <w:tcPr>
            <w:tcW w:w="0" w:type="auto"/>
            <w:noWrap w:val="0"/>
            <w:vAlign w:val="center"/>
          </w:tcPr>
          <w:p w14:paraId="38994AA6">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批发业</w:t>
            </w:r>
          </w:p>
        </w:tc>
        <w:tc>
          <w:tcPr>
            <w:tcW w:w="0" w:type="auto"/>
            <w:noWrap w:val="0"/>
            <w:vAlign w:val="center"/>
          </w:tcPr>
          <w:p w14:paraId="04BB11FD">
            <w:pPr>
              <w:keepNext w:val="0"/>
              <w:keepLines w:val="0"/>
              <w:pageBreakBefore w:val="0"/>
              <w:kinsoku/>
              <w:wordWrap/>
              <w:overflowPunct/>
              <w:topLinePunct w:val="0"/>
              <w:autoSpaceDE/>
              <w:autoSpaceDN/>
              <w:bidi w:val="0"/>
              <w:adjustRightInd/>
              <w:snapToGrid/>
              <w:spacing w:line="420" w:lineRule="exact"/>
              <w:contextualSpacing/>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详见附表一</w:t>
            </w:r>
          </w:p>
        </w:tc>
      </w:tr>
    </w:tbl>
    <w:p w14:paraId="24748123">
      <w:pPr>
        <w:keepNext w:val="0"/>
        <w:keepLines w:val="0"/>
        <w:pageBreakBefore w:val="0"/>
        <w:kinsoku/>
        <w:wordWrap/>
        <w:overflowPunct/>
        <w:topLinePunct w:val="0"/>
        <w:autoSpaceDE/>
        <w:autoSpaceDN/>
        <w:bidi w:val="0"/>
        <w:adjustRightInd/>
        <w:snapToGrid/>
        <w:spacing w:line="420" w:lineRule="exact"/>
        <w:contextualSpacing/>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附表一：</w:t>
      </w:r>
      <w:r>
        <w:rPr>
          <w:rFonts w:hint="eastAsia" w:ascii="宋体" w:hAnsi="宋体" w:eastAsia="宋体" w:cs="宋体"/>
          <w:color w:val="auto"/>
          <w:sz w:val="22"/>
          <w:szCs w:val="22"/>
          <w:highlight w:val="none"/>
          <w:lang w:eastAsia="zh-CN"/>
        </w:rPr>
        <w:t>东莞市莞城中心小学食堂食材配送服务项目</w:t>
      </w:r>
    </w:p>
    <w:p w14:paraId="675FED61">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eastAsia="zh-CN"/>
        </w:rPr>
        <w:t>一、项目总体要求：</w:t>
      </w:r>
    </w:p>
    <w:p w14:paraId="112AE34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为进一步加强学校食堂管理，规范学校食堂在经营运作、食品安全、饮食营养和价格监督管理等方面工作，保障师生权益，本项目根据《中华人民共和国食品安全法》、《广东省食品安全条例》、《广东省学校食堂食品安全管理规定》、《广东省学校食堂食品安全管理档案建立规范工作指引》、《关于进一步规范我市学校食堂管理的通知》（东教计[2012]9号）及相关文件精神，对东莞市莞城中心小学食堂配送服务采购项目作总体要求。</w:t>
      </w:r>
    </w:p>
    <w:p w14:paraId="714B21F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2、本项目中标供应商为采购人在校师生约</w:t>
      </w:r>
      <w:r>
        <w:rPr>
          <w:rFonts w:hint="eastAsia" w:ascii="宋体" w:hAnsi="宋体" w:eastAsia="宋体" w:cs="宋体"/>
          <w:snapToGrid/>
          <w:color w:val="auto"/>
          <w:kern w:val="2"/>
          <w:sz w:val="22"/>
          <w:szCs w:val="22"/>
          <w:highlight w:val="none"/>
          <w:lang w:val="en-US" w:eastAsia="zh-CN"/>
        </w:rPr>
        <w:t>五千</w:t>
      </w:r>
      <w:r>
        <w:rPr>
          <w:rFonts w:hint="eastAsia" w:ascii="宋体" w:hAnsi="宋体" w:eastAsia="宋体" w:cs="宋体"/>
          <w:snapToGrid/>
          <w:color w:val="auto"/>
          <w:kern w:val="2"/>
          <w:sz w:val="22"/>
          <w:szCs w:val="22"/>
          <w:highlight w:val="none"/>
          <w:lang w:eastAsia="zh-CN"/>
        </w:rPr>
        <w:t>人（以当学期实际人数为准）提供及配送早餐、午餐等食材。</w:t>
      </w:r>
    </w:p>
    <w:p w14:paraId="75E450C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中标供应商为采购人供应肉类、三鸟类、冻品类、水产品、豆制品、蔬菜类、水果类、面包类、米面制品、调料等食材或货物。中标供应商可能是供应上述种类的某一种，也可以是供应多种产品，视乎采购人的需求而定。中标供应商按照采购人提出的物品订货清单，不论数量多少，必须保证在规定的时间送达。</w:t>
      </w:r>
    </w:p>
    <w:p w14:paraId="2EE29440">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中标供应商必须遵守国家规定的《中华人民共和国食品安全法》、《中华人民共和国农产品质量安全法》等法律和行政法规的规定，提供的货品必须符合国家有关食品标准，保质、保量、保鲜，严禁配送假冒、变质、过期的农副产品。</w:t>
      </w:r>
    </w:p>
    <w:p w14:paraId="6944529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5、中标供应商须根据采购人就餐师生的规模购买不低于承保额人民币壹仟万元的食品安全责任保险。保险承保期限不短于本项目服务期。</w:t>
      </w:r>
    </w:p>
    <w:p w14:paraId="008E1C66">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eastAsia="zh-CN"/>
        </w:rPr>
        <w:t>二、食材或货物质量要求：</w:t>
      </w:r>
    </w:p>
    <w:p w14:paraId="47338CF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食品制造过程中不得使用劣质原料，不得添加有毒物质；不得超量使用食品添加剂，不得滥用非食品加工用化学添加剂，加工食品过程中不得使用劣质原料；抗生素、激素和其他有害物质不得残留于禽、畜、水产品体内；必须符合食品国家标准，禁止供应有毒、有害、腐烂变质、超过保质期限、酸败、霉变、混有异物或其他感官性状异常的食品。</w:t>
      </w:r>
    </w:p>
    <w:p w14:paraId="4C237CA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1、粮食大米类：包括但不限于大米、油粘米、糯米等。</w:t>
      </w:r>
    </w:p>
    <w:p w14:paraId="694B716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1.1大米质量标准：</w:t>
      </w:r>
    </w:p>
    <w:p w14:paraId="4737D0F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1.1.1基本要求：有“SC”标志，标明加工厂名称、品名、生产日期、保质期或保存期，质量等级、产品标准号、产品合格证，质量符合大米国家标准（GB1354-86）与国家粮食标准（GB2715-2005）。</w:t>
      </w:r>
    </w:p>
    <w:p w14:paraId="75A4861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1.1.2具有固有色泽和香味，无污染、无虫害，色泽、气味、口味正常，无异味或霉味（霉变），无虫蛀结块挂丝或杂质异</w:t>
      </w:r>
      <w:r>
        <w:rPr>
          <w:rFonts w:hint="eastAsia" w:ascii="宋体" w:hAnsi="宋体" w:eastAsia="宋体" w:cs="宋体"/>
          <w:snapToGrid/>
          <w:color w:val="auto"/>
          <w:kern w:val="2"/>
          <w:sz w:val="22"/>
          <w:szCs w:val="22"/>
          <w:highlight w:val="none"/>
          <w:lang w:val="en-US" w:eastAsia="zh-CN"/>
        </w:rPr>
        <w:t>物</w:t>
      </w:r>
      <w:r>
        <w:rPr>
          <w:rFonts w:hint="eastAsia" w:ascii="宋体" w:hAnsi="宋体" w:eastAsia="宋体" w:cs="宋体"/>
          <w:snapToGrid/>
          <w:color w:val="auto"/>
          <w:kern w:val="2"/>
          <w:sz w:val="22"/>
          <w:szCs w:val="22"/>
          <w:highlight w:val="none"/>
          <w:lang w:eastAsia="zh-CN"/>
        </w:rPr>
        <w:t>等，符合国家粮食标准。</w:t>
      </w:r>
    </w:p>
    <w:p w14:paraId="6DE7D7D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1.2大米要求的资质证明：</w:t>
      </w:r>
    </w:p>
    <w:p w14:paraId="6B2FB2C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1.2.1生产（供应）企业的资质证明（首次供应时提供）：《营业执照》、《食品经营许可证》、《全国工业产品生产许可证》等相关证照。</w:t>
      </w:r>
    </w:p>
    <w:p w14:paraId="45DE3C4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1.2.2《出厂检验报告》交货时提供本批次产品的出厂（库）检验合格报告单</w:t>
      </w:r>
      <w:r>
        <w:rPr>
          <w:rFonts w:hint="eastAsia" w:ascii="宋体" w:hAnsi="宋体" w:eastAsia="宋体" w:cs="宋体"/>
          <w:color w:val="auto"/>
          <w:sz w:val="22"/>
          <w:highlight w:val="none"/>
          <w:lang w:eastAsia="zh-CN"/>
        </w:rPr>
        <w:t>，</w:t>
      </w:r>
      <w:r>
        <w:rPr>
          <w:rFonts w:hint="eastAsia" w:ascii="宋体" w:hAnsi="宋体" w:eastAsia="宋体" w:cs="宋体"/>
          <w:i w:val="0"/>
          <w:iCs w:val="0"/>
          <w:caps w:val="0"/>
          <w:color w:val="auto"/>
          <w:spacing w:val="0"/>
          <w:sz w:val="22"/>
          <w:szCs w:val="22"/>
          <w:highlight w:val="none"/>
          <w:shd w:val="clear" w:color="auto" w:fill="auto"/>
        </w:rPr>
        <w:t>大米应具备镉、黄曲霉毒素等指标的检测报告</w:t>
      </w:r>
      <w:r>
        <w:rPr>
          <w:rFonts w:hint="eastAsia" w:ascii="宋体" w:hAnsi="宋体" w:eastAsia="宋体" w:cs="宋体"/>
          <w:snapToGrid/>
          <w:color w:val="auto"/>
          <w:kern w:val="2"/>
          <w:sz w:val="22"/>
          <w:szCs w:val="22"/>
          <w:highlight w:val="none"/>
          <w:lang w:eastAsia="zh-CN"/>
        </w:rPr>
        <w:t>。</w:t>
      </w:r>
    </w:p>
    <w:p w14:paraId="5C0E8AF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2、食用油类：包括但不限于玉米油、花生油、葵花油等。</w:t>
      </w:r>
    </w:p>
    <w:p w14:paraId="428A731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2.1基本要求：外包装完好，有SC 标志，标明品名、厂名、重量、生产日期、保质期或保存期等符合国家标准。具有正常植物油的色泽、透明度、气味和滋味，无焦臭、酸败及其他异味。</w:t>
      </w:r>
    </w:p>
    <w:p w14:paraId="5665B8C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2.2食用油生产企业的资质证明（首次供应时提供）及每次进货的产品批号：《企业法人营业执照》、《食品经营许可证》、《全国工业产品生产许可证》</w:t>
      </w:r>
    </w:p>
    <w:p w14:paraId="29C2CD9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2.3气味、滋味：具有固有的气味和滋味，无异味</w:t>
      </w:r>
    </w:p>
    <w:p w14:paraId="401A9F5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2.4加热试验（280℃）油色不得变深，无析出物。</w:t>
      </w:r>
    </w:p>
    <w:p w14:paraId="1C8D877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2.5不得混有其他食用油或非食用油。</w:t>
      </w:r>
    </w:p>
    <w:p w14:paraId="6C18EA2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2.6食品标准和动植物检疫项目，按照国家有关规定执行。</w:t>
      </w:r>
    </w:p>
    <w:p w14:paraId="4DD609B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3、调味品类：包括但不限于酱油、淀粉、食盐、食糖、腐乳等。</w:t>
      </w:r>
    </w:p>
    <w:p w14:paraId="2D72492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3.1</w:t>
      </w:r>
      <w:r>
        <w:rPr>
          <w:rFonts w:hint="eastAsia" w:ascii="宋体" w:hAnsi="宋体" w:eastAsia="宋体" w:cs="宋体"/>
          <w:snapToGrid/>
          <w:color w:val="auto"/>
          <w:kern w:val="2"/>
          <w:sz w:val="22"/>
          <w:szCs w:val="22"/>
          <w:highlight w:val="none"/>
          <w:lang w:eastAsia="zh-CN"/>
        </w:rPr>
        <w:tab/>
      </w:r>
      <w:r>
        <w:rPr>
          <w:rFonts w:hint="eastAsia" w:ascii="宋体" w:hAnsi="宋体" w:eastAsia="宋体" w:cs="宋体"/>
          <w:snapToGrid/>
          <w:color w:val="auto"/>
          <w:kern w:val="2"/>
          <w:sz w:val="22"/>
          <w:szCs w:val="22"/>
          <w:highlight w:val="none"/>
          <w:lang w:eastAsia="zh-CN"/>
        </w:rPr>
        <w:t>基本要求：外包装完好，有SC 标志，标明品名、厂名、重量、生产日期、保质期或保存期等符合国家标准。</w:t>
      </w:r>
    </w:p>
    <w:p w14:paraId="0C1D0A8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3.2酱油：合格的酱油颜色比较红、亮，有光泽、透明，把这酱油倒在瓶子里后，摇一下，合格酱油产生的泡沫非常细腻，保持持久，挂碗现象非常好，有一种发黏的感觉；不合格的酱油泡沫比较大，很容易散去，挂碗现象不好，很容易滑落。</w:t>
      </w:r>
    </w:p>
    <w:p w14:paraId="4A5DB2A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3.3酱类食品：具有正常酿造酱的色泽、气味和滋味，不涩，无其他不良气味，不得有酸、苦、焦糊及其它异味、异物。</w:t>
      </w:r>
    </w:p>
    <w:p w14:paraId="10475E1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3.4淀粉制品：具有各自品种固有的形态和色泽，不酸、不粘、不发霉，无变质，无异味，无杂质，口尝无砂质。</w:t>
      </w:r>
    </w:p>
    <w:p w14:paraId="4D66BF0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3.5食盐：结晶整齐一致，坚硬光滑，呈透明或半透明，不结块，无反卤吸潮现象，无杂质，沾取少许尝试具有纯正的咸味。</w:t>
      </w:r>
    </w:p>
    <w:p w14:paraId="688C4CE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3.6食糖：食糖根据经营习惯分为白糖、红糖、冰糖、方糖等。白糖的感官鉴别：色泽洁白明亮，有光泽，具有白糖的正常气味，无酸味、酒味或其他外来气味。白砂糖：颗粒大如砂粒，晶粒均匀整齐，晶面明显，无碎末，糖质坚硬。凡是白糖都应干燥，晶粒松散，不粘手，不结块，无肉眼可见的杂质，白糖的水溶液应清晰透明无杂质。</w:t>
      </w:r>
    </w:p>
    <w:p w14:paraId="5DC1F76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3.7腐乳：红腐乳表面呈红色或枣红色，内部呈杏黄色，色泽鲜艳，有光泽。白腐乳外表呈乳黄色。块形整齐均匀，质地细腻，无霉斑、霉变及杂质。具有各品种的腐乳特有的香味或特征气味，无任何其他异味，滋味鲜美，咸淡适口，无任何其他异味。</w:t>
      </w:r>
    </w:p>
    <w:p w14:paraId="7A44186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4、干货、杂货、副食品类：包括但不限于鲜鸡蛋、皮蛋、咸蛋、榨菜、桂圆肉、无花果等。</w:t>
      </w:r>
    </w:p>
    <w:p w14:paraId="3E58B69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4.1 必须选用符合国家食品安全法规及相关国家标准的商品，选用无毒、无害、无污染、可朔源的食品。掺假、掺杂食品坚决不能使用。</w:t>
      </w:r>
    </w:p>
    <w:p w14:paraId="38E06A9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4.2 副食品等级标准要相符，其包装盒或标签上须注明食品名称、生产厂家、厂址、生产日期、食品的主要原料成份、食品保质期和SC认证标志等信息，注明不详或没有注明的商品不予验收。</w:t>
      </w:r>
    </w:p>
    <w:p w14:paraId="3AABF3E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4.3 副食品表面外观新鲜、完整，无霉变异味，无砂粒杂质，无虫尸鼠粪等不洁卫生问题。</w:t>
      </w:r>
    </w:p>
    <w:p w14:paraId="46913FB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4.4鸡蛋：蛋壳清洁完整，色泽鲜明，无破损、裂纹，无霉斑，灯光透视时，整个蛋呈桔黄色至橙红色，蛋黄不见或略见阴影，没有霉味、酸味，臭味等不良气味，打开后蛋黄凸起、完整、有韧性，蛋白澄清、透明、稀稠分明，无异味。</w:t>
      </w:r>
    </w:p>
    <w:p w14:paraId="6C3654D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4.5皮蛋：外表泥状包料完整、无霉斑，包料除掉后蛋壳亦完整无损，灯光透照蛋内容物凝固不动，打开观察，整个蛋凝固、不粘壳、清洁而有弹性，呈半透明的棕黄色，闻起来有芳香，无辛辣气。</w:t>
      </w:r>
    </w:p>
    <w:p w14:paraId="097AE8D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4.6咸蛋：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14:paraId="3C64889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5、米粉面粉类：包括但不限于米粉、面粉、濑粉、河粉等。</w:t>
      </w:r>
    </w:p>
    <w:p w14:paraId="220E382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5.1 米粉面粉类及其制品颜色品质要纯正，不掺假、掺杂。</w:t>
      </w:r>
    </w:p>
    <w:p w14:paraId="0AD6472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5.2选用符合国家食品安全法规及相关国家标准的产品，粉质细腻干爽无异物、无毒、无污染。</w:t>
      </w:r>
    </w:p>
    <w:p w14:paraId="4BB05D5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5.3 制成品不能出现异味、霉变结块、虫尸鼠粪等不洁的卫生问题。</w:t>
      </w:r>
    </w:p>
    <w:p w14:paraId="3ACBAEF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6、肉类：包括但不限于猪肉、牛肉、羊肉等。</w:t>
      </w:r>
    </w:p>
    <w:p w14:paraId="79B22FB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6.1所有货物必须各项质量技术指标完全符合国家有关质量检测、环保标准及产品出厂标准。</w:t>
      </w:r>
    </w:p>
    <w:p w14:paraId="616F038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6.2保证无异味、无霉烂变质。鲜肉、冷冻肉供货时需提供当批次有效的动物产品检疫合格证，原件备查。</w:t>
      </w:r>
    </w:p>
    <w:p w14:paraId="17E386B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6.3每批鲜猪肉、牛肉、羊肉等可以是东莞市及周边城市政府指定的肉联厂发出的放心肉并提供放心肉证，并注明保鲜期。</w:t>
      </w:r>
    </w:p>
    <w:p w14:paraId="433C7D2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6.4所有货物指标要符合国家强制性标准要求，冻食品类产品，投标人必须清晰地列出产品品牌，型号、包装类型、包装方式、包装净重量、含冰量等相关参数，且包装箱上必须贴有SC 标志。</w:t>
      </w:r>
    </w:p>
    <w:p w14:paraId="41A2673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6.5如中标供应商不能按时、保质、保量供货，由采购人自行采购，并承担采购人由此造成的经济损失和接受违约处罚。</w:t>
      </w:r>
    </w:p>
    <w:p w14:paraId="50405579">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6.6肉类生产企业的资质证明（首次供应时提供）：《企业法人营业执照》、《全国工业产品生产许可证》、《动物防疫合格证》、《食品经营许可证》。</w:t>
      </w:r>
    </w:p>
    <w:p w14:paraId="168BA16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6.7每次交货时提供本批次产品的出厂（库）检验合格证明（随车同行）：《出县境动物产品检疫合格证》、《产品合格证》等相关证明文件。</w:t>
      </w:r>
    </w:p>
    <w:p w14:paraId="212E7E8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7、水产品类：包括但不限于生鱼、黄骨鱼、鲩鱼、鲫鱼等。</w:t>
      </w:r>
    </w:p>
    <w:p w14:paraId="26CE1FF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7.1 所提供产品必须符合国家食品安全法规及相关国家标准。</w:t>
      </w:r>
    </w:p>
    <w:p w14:paraId="71EE46B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7.2 鲜鱼鳞片完整，有光泽无脱落，鳃口紧闭，眼球光亮透明，鱼鳃鲜红，鳍尾完整，确保新鲜。</w:t>
      </w:r>
    </w:p>
    <w:p w14:paraId="7FD7635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7.3 身体饱满结实，无腐烂异味，肉质紧密有弹性，无离骨脱刺现象。</w:t>
      </w:r>
    </w:p>
    <w:p w14:paraId="7A0C993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7.4 来源可靠放心，无毒、无害、无污染。</w:t>
      </w:r>
    </w:p>
    <w:p w14:paraId="2A0297F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8、三鸟类（屠杀好的）：包括但不限于鸡、鹅、鸭、白鸽等。</w:t>
      </w:r>
    </w:p>
    <w:p w14:paraId="388F1E8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8.1所提供产品必须符合国家食品安全法规及相关国家标准，具有食品药品监督管理部门发放的“动物检疫合格证明”。</w:t>
      </w:r>
    </w:p>
    <w:p w14:paraId="02E93A80">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8.2肉质新鲜柔软有光泽，质地紧密，脂肪呈白色或淡黄色，肉质细腻、无腐烂异味， 肉体结实，内脏清掏干净，肉质弹性足无明显渗出液体，总体无粘液。</w:t>
      </w:r>
    </w:p>
    <w:p w14:paraId="18E18E7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8.3运输设备具备恒温保鲜（5度），存放容器保持清洁卫生，包装合理，来源可靠放心，无毒、无害、无污染。</w:t>
      </w:r>
    </w:p>
    <w:p w14:paraId="28D73B3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9、零星冻品副食品类：包括但不限于冻鸡翅、火腿、猪肉丸、鱼丸、牛奶等。</w:t>
      </w:r>
    </w:p>
    <w:p w14:paraId="390B0D4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9.1 必须选用符合国家食品安全法规相关标准的商品，选用无毒、无害、无污染、可朔源的副食品。掺假、掺杂副食品坚决不能使用。</w:t>
      </w:r>
    </w:p>
    <w:p w14:paraId="67D5C7C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9.2 食品等级标准要相符，其包装盒或标签上须注明食品名称，生产厂家、厂址、生产日期、食品的主要原料成份、食品保质期和SC认证标志等信息，注明不详或没有注明的商品不予验收。</w:t>
      </w:r>
    </w:p>
    <w:p w14:paraId="75D8776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9.3 冻肉类产品中间不能有过多冰块，重量必须和包装箱上标明的重量一致。</w:t>
      </w:r>
    </w:p>
    <w:p w14:paraId="7F83C45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9.4 奶制品色泽乳白，口味鲜香，包装完整，无破损，货品必须保证在保质期内，符合国家规定的食品质量标准。</w:t>
      </w:r>
    </w:p>
    <w:p w14:paraId="15EEFD7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9.5鲜奶、酸奶：正常生鲜牛奶为乳白色或略带微黄色的均匀胶体，无粘稠、浓厚、分层现象；不得有肉眼可见的机械杂质；具备乳的正常滋气味，不得有苦、咸、涩、臭等异味；每批产品出厂前，由检验部门逐批检验合格后，出具合格证书，并在包装内（外）附有</w:t>
      </w:r>
      <w:r>
        <w:rPr>
          <w:rFonts w:hint="eastAsia" w:ascii="宋体" w:hAnsi="宋体" w:eastAsia="宋体" w:cs="宋体"/>
          <w:snapToGrid/>
          <w:color w:val="auto"/>
          <w:kern w:val="2"/>
          <w:sz w:val="22"/>
          <w:szCs w:val="22"/>
          <w:highlight w:val="none"/>
          <w:lang w:val="en-US" w:eastAsia="zh-CN"/>
        </w:rPr>
        <w:t>合</w:t>
      </w:r>
      <w:r>
        <w:rPr>
          <w:rFonts w:hint="eastAsia" w:ascii="宋体" w:hAnsi="宋体" w:eastAsia="宋体" w:cs="宋体"/>
          <w:snapToGrid/>
          <w:color w:val="auto"/>
          <w:kern w:val="2"/>
          <w:sz w:val="22"/>
          <w:szCs w:val="22"/>
          <w:highlight w:val="none"/>
          <w:lang w:eastAsia="zh-CN"/>
        </w:rPr>
        <w:t>格证方可出厂。出厂检验项目为：感官指标、粗脂肪、蛋白质、大肠菌群测定、菌落总数等且全部依据国家标准。</w:t>
      </w:r>
    </w:p>
    <w:p w14:paraId="6907015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10、蔬菜类：包括但不限于油麦菜、生菜、菜心、白菜、菠菜等。</w:t>
      </w:r>
    </w:p>
    <w:p w14:paraId="18A20AA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10.1所有蔬菜必须符合国家有关标准，保证新鲜、无异味、无霉烂变质。</w:t>
      </w:r>
    </w:p>
    <w:p w14:paraId="0FF86DB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10.2所有蔬菜必须保证食用安全，绝无农药等有害物质的留存。</w:t>
      </w:r>
    </w:p>
    <w:p w14:paraId="57BBD85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10.3所有蔬菜在交付采购人前必须经过前期处理，处理率达到95%以上。</w:t>
      </w:r>
    </w:p>
    <w:p w14:paraId="3B37180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10.4水量：充足、但无过份萎蔫、皱皮。</w:t>
      </w:r>
    </w:p>
    <w:p w14:paraId="35FAD2F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10.5色泽：正常、无变色、光泽、</w:t>
      </w:r>
      <w:r>
        <w:rPr>
          <w:rFonts w:hint="eastAsia" w:ascii="宋体" w:hAnsi="宋体" w:eastAsia="宋体" w:cs="宋体"/>
          <w:snapToGrid/>
          <w:color w:val="auto"/>
          <w:kern w:val="2"/>
          <w:sz w:val="22"/>
          <w:szCs w:val="22"/>
          <w:highlight w:val="none"/>
          <w:lang w:val="en-US" w:eastAsia="zh-CN"/>
        </w:rPr>
        <w:t>明</w:t>
      </w:r>
      <w:r>
        <w:rPr>
          <w:rFonts w:hint="eastAsia" w:ascii="宋体" w:hAnsi="宋体" w:eastAsia="宋体" w:cs="宋体"/>
          <w:snapToGrid/>
          <w:color w:val="auto"/>
          <w:kern w:val="2"/>
          <w:sz w:val="22"/>
          <w:szCs w:val="22"/>
          <w:highlight w:val="none"/>
          <w:lang w:eastAsia="zh-CN"/>
        </w:rPr>
        <w:t>亮鲜艳。</w:t>
      </w:r>
    </w:p>
    <w:p w14:paraId="1B81FA6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10.6硬度：叶菜挺立、爪菜饱满、结实、无空心、根菜略硬。</w:t>
      </w:r>
    </w:p>
    <w:p w14:paraId="0CBD7F1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10.7机械伤：相同新鲜条件下无外力造成伤害：挤伤、压伤、碰伤切口、裂伤等。</w:t>
      </w:r>
    </w:p>
    <w:p w14:paraId="77ED0FF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10.8病虫害：无虫害、虫嗑、无残虫卵。</w:t>
      </w:r>
    </w:p>
    <w:p w14:paraId="45CB5B0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10.9形状：枝叶丰满、大小适中、曲线谐调。</w:t>
      </w:r>
    </w:p>
    <w:p w14:paraId="2BE221D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10.10成熟度：适中、无未熟过识、腐烂。</w:t>
      </w:r>
    </w:p>
    <w:p w14:paraId="3FC1DB9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10.11污染：无污染、残留农药、运输造成的污染。</w:t>
      </w:r>
    </w:p>
    <w:p w14:paraId="6E12A43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10.12有包装肉菜：应完整、干净。</w:t>
      </w:r>
    </w:p>
    <w:p w14:paraId="56583D2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10.13叶菜类：挺实、全味正、颜色好、无过多黄叶、腐烂叶与多泥根，水份充足、无萎蔫、不成熟现象。</w:t>
      </w:r>
    </w:p>
    <w:p w14:paraId="4E2C618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10.14瓜菜类：个大、成熟、新鲜、外皮无斑点、有新鲜绿秧、无软化、变质现象。</w:t>
      </w:r>
    </w:p>
    <w:p w14:paraId="5759DF1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10.15根菜类：挺实、无软化、腐烂、带泥过多、色泽正常、形状正常、无生芽现象。</w:t>
      </w:r>
    </w:p>
    <w:p w14:paraId="7298881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11、水果类：包括但不限于苹果、梨子、香蕉、桔子、橙子等。</w:t>
      </w:r>
    </w:p>
    <w:p w14:paraId="72507E4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11.1符合国家食品药品管理法规或标准，不得腐烂和泥沙等现象。</w:t>
      </w:r>
    </w:p>
    <w:p w14:paraId="6B710B6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11.2应保持较好的色泽和新鲜度。</w:t>
      </w:r>
    </w:p>
    <w:p w14:paraId="62BCBDE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11.3无公害、农药残留不得超标，提供农药残留检测证明。</w:t>
      </w:r>
    </w:p>
    <w:p w14:paraId="62B946A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11.4新鲜水份充足，无空壳，皱皮，干涩现象；色泽：新艳，光亮，无变色；硬度：饱满，充实，软硬适中；相同新鲜条件下无外力造成的伤害，如：挤伤、压伤、碰伤、切口，裂伤等；病虫害：无不良病虫害，表面，中间无虫卵遗留，无虫眼；形状：曲线谐调，外形优美，果实硕大，无不良图案及异状；成熟度：适中，无过熟，未熟现象；污染：无污染残留农药。</w:t>
      </w:r>
    </w:p>
    <w:p w14:paraId="4B3EA47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12、面包、糕点类：包括但不限于肉包子、馒头、桂花糕、戚风蛋糕、烧卖等。</w:t>
      </w:r>
    </w:p>
    <w:p w14:paraId="5E15091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12.1所提供产品必须符合国家食品安全法规及相关国家标准（糕点、面包类）。</w:t>
      </w:r>
    </w:p>
    <w:p w14:paraId="5FD3DC9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12.2形态:完整，丰满，无黑泡或明显焦斑，形状应与品种造型相符。表皮有裂口，完整，丰满，无黑泡或明显焦斑，形状应与品种造型相符。丰满，多层，无黑泡或明显焦斑，光洁，形状应与品种造型相符。完整，丰满，无黑泡或明显焦斑，形状应与品种造型相符。符合产品应有的形态。</w:t>
      </w:r>
    </w:p>
    <w:p w14:paraId="5E07E69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12.3色泽:金黄色、淡棕色或棕灰色，色泽均匀、正常。</w:t>
      </w:r>
      <w:r>
        <w:rPr>
          <w:rFonts w:hint="eastAsia" w:ascii="宋体" w:hAnsi="宋体" w:eastAsia="宋体" w:cs="宋体"/>
          <w:snapToGrid/>
          <w:color w:val="auto"/>
          <w:kern w:val="2"/>
          <w:sz w:val="22"/>
          <w:szCs w:val="22"/>
          <w:highlight w:val="none"/>
          <w:lang w:eastAsia="zh-CN"/>
        </w:rPr>
        <w:tab/>
      </w:r>
    </w:p>
    <w:p w14:paraId="3554A5E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12.4组织:细腻，有弹性，气孔均匀，纹理清晰，呈海绵状，切片后不断裂。紧密，有弹性。有弹性，多孔，纹理清晰，层次分明。细腻，有弹性，气孔均匀，纹理清晰，呈海绵状。符合产品应有的组织。</w:t>
      </w:r>
    </w:p>
    <w:p w14:paraId="2E754B7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12.5滋味、口感:具有发酵和烘烤后的面包香味，松软适口，无异味。耐咀嚼，无异味。表皮酥脆，内质松软，口感酥香，无异味。具有品种应有的滋味与口感，无异味。符合产品应有的滋味与口感，无异味。</w:t>
      </w:r>
    </w:p>
    <w:p w14:paraId="546DDB7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12.6杂质:正常视力无可见的外来异物。</w:t>
      </w:r>
    </w:p>
    <w:p w14:paraId="20C18ADF">
      <w:pPr>
        <w:keepNext w:val="0"/>
        <w:keepLines w:val="0"/>
        <w:spacing w:line="420" w:lineRule="exact"/>
        <w:ind w:firstLine="440" w:firstLineChars="200"/>
        <w:rPr>
          <w:rFonts w:hint="eastAsia" w:ascii="宋体" w:hAnsi="宋体" w:eastAsia="宋体" w:cs="宋体"/>
          <w:snapToGrid/>
          <w:color w:val="auto"/>
          <w:kern w:val="2"/>
          <w:sz w:val="22"/>
          <w:szCs w:val="22"/>
          <w:highlight w:val="none"/>
          <w:lang w:val="en-US" w:eastAsia="zh-CN"/>
        </w:rPr>
      </w:pPr>
      <w:r>
        <w:rPr>
          <w:rFonts w:hint="eastAsia" w:ascii="宋体" w:hAnsi="宋体" w:eastAsia="宋体" w:cs="宋体"/>
          <w:snapToGrid/>
          <w:color w:val="auto"/>
          <w:kern w:val="2"/>
          <w:sz w:val="22"/>
          <w:szCs w:val="22"/>
          <w:highlight w:val="none"/>
          <w:lang w:val="en-US" w:eastAsia="zh-CN"/>
        </w:rPr>
        <w:t>13.大宗</w:t>
      </w:r>
      <w:r>
        <w:rPr>
          <w:rFonts w:hint="eastAsia" w:ascii="宋体" w:hAnsi="宋体" w:eastAsia="宋体" w:cs="宋体"/>
          <w:color w:val="auto"/>
          <w:sz w:val="22"/>
          <w:highlight w:val="none"/>
        </w:rPr>
        <w:t>食品</w:t>
      </w:r>
      <w:r>
        <w:rPr>
          <w:rFonts w:hint="eastAsia" w:ascii="宋体" w:hAnsi="宋体" w:eastAsia="宋体" w:cs="宋体"/>
          <w:snapToGrid/>
          <w:color w:val="auto"/>
          <w:kern w:val="2"/>
          <w:sz w:val="22"/>
          <w:szCs w:val="22"/>
          <w:highlight w:val="none"/>
          <w:lang w:val="en-US" w:eastAsia="zh-CN"/>
        </w:rPr>
        <w:t>抽检要求</w:t>
      </w:r>
    </w:p>
    <w:p w14:paraId="71289179">
      <w:pPr>
        <w:numPr>
          <w:ilvl w:val="0"/>
          <w:numId w:val="0"/>
        </w:numPr>
        <w:spacing w:line="42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13.1中标供应商须配合市场监督管理局抽检工作，</w:t>
      </w:r>
      <w:r>
        <w:rPr>
          <w:rFonts w:hint="eastAsia" w:ascii="宋体" w:hAnsi="宋体" w:eastAsia="宋体" w:cs="宋体"/>
          <w:color w:val="auto"/>
          <w:sz w:val="22"/>
          <w:highlight w:val="none"/>
        </w:rPr>
        <w:t>每季度对</w:t>
      </w:r>
      <w:r>
        <w:rPr>
          <w:rFonts w:hint="eastAsia" w:ascii="宋体" w:hAnsi="宋体" w:eastAsia="宋体" w:cs="宋体"/>
          <w:color w:val="auto"/>
          <w:sz w:val="22"/>
          <w:highlight w:val="none"/>
          <w:lang w:val="en-US" w:eastAsia="zh-CN"/>
        </w:rPr>
        <w:t>学校采购的</w:t>
      </w:r>
      <w:r>
        <w:rPr>
          <w:rFonts w:hint="eastAsia" w:ascii="宋体" w:hAnsi="宋体" w:eastAsia="宋体" w:cs="宋体"/>
          <w:color w:val="auto"/>
          <w:sz w:val="22"/>
          <w:highlight w:val="none"/>
        </w:rPr>
        <w:t>大宗食品</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lang w:val="en-US" w:eastAsia="zh-CN"/>
        </w:rPr>
        <w:t>包括但不限于大米、粉面、食用油、蛋类等</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rPr>
        <w:t>进行第三方抽检，并提供</w:t>
      </w:r>
      <w:r>
        <w:rPr>
          <w:rFonts w:hint="eastAsia" w:ascii="宋体" w:hAnsi="宋体" w:eastAsia="宋体" w:cs="宋体"/>
          <w:color w:val="auto"/>
          <w:sz w:val="22"/>
          <w:highlight w:val="none"/>
          <w:lang w:val="en-US" w:eastAsia="zh-CN"/>
        </w:rPr>
        <w:t>相应的</w:t>
      </w:r>
      <w:r>
        <w:rPr>
          <w:rFonts w:hint="eastAsia" w:ascii="宋体" w:hAnsi="宋体" w:eastAsia="宋体" w:cs="宋体"/>
          <w:color w:val="auto"/>
          <w:sz w:val="22"/>
          <w:highlight w:val="none"/>
        </w:rPr>
        <w:t>检验</w:t>
      </w:r>
      <w:r>
        <w:rPr>
          <w:rFonts w:hint="eastAsia" w:ascii="宋体" w:hAnsi="宋体" w:eastAsia="宋体" w:cs="宋体"/>
          <w:color w:val="auto"/>
          <w:sz w:val="22"/>
          <w:highlight w:val="none"/>
          <w:lang w:val="en-US" w:eastAsia="zh-CN"/>
        </w:rPr>
        <w:t>检测</w:t>
      </w:r>
      <w:r>
        <w:rPr>
          <w:rFonts w:hint="eastAsia" w:ascii="宋体" w:hAnsi="宋体" w:eastAsia="宋体" w:cs="宋体"/>
          <w:color w:val="auto"/>
          <w:sz w:val="22"/>
          <w:highlight w:val="none"/>
        </w:rPr>
        <w:t>合格报告</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lang w:val="en-US" w:eastAsia="zh-CN"/>
        </w:rPr>
        <w:t>同时中标供应商须承担出具检验检测报告的相关费用。</w:t>
      </w:r>
    </w:p>
    <w:p w14:paraId="1087F68F">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eastAsia="zh-CN"/>
        </w:rPr>
        <w:t>三、中标供应商的管理要求：</w:t>
      </w:r>
    </w:p>
    <w:p w14:paraId="59C4FEF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1、必须依据国家有关法律法规要求建立健全各项管理制度，保证食品安全；有明确的食品安全责任人。</w:t>
      </w:r>
    </w:p>
    <w:p w14:paraId="06DA0B5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中标供应商在接到通知后备齐货物，按时送抵交货地点。中标供应商除不可抗力，不得因其他任何理由延迟送货。采购人如遇特殊情况需推迟送货，应提前通知中标供应商。中标供应商不能按时、按质、按量供货，导致采购人无法正常供应伙食的，采购人有权自行采购同等质量的货物，由此造成的经济损失和责任均由中标供应商承担，并承担违约责任。</w:t>
      </w:r>
    </w:p>
    <w:p w14:paraId="1AC874C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3、中标供应商应严格按招标要求（含品种、质量等）供应，不得变更供应商品，否则，采购人有权退货。</w:t>
      </w:r>
    </w:p>
    <w:p w14:paraId="10AC6F3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4、中标供应商供应不合格的、假冒伪劣、以次充好的商品，采购人退货后将记录在案，作为考核依据，情节严重的，采购人有权无条件单方面终止合同。</w:t>
      </w:r>
    </w:p>
    <w:p w14:paraId="5E9209E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5、中标供应商须按供应商品的销售额开具国家正式发票。</w:t>
      </w:r>
    </w:p>
    <w:p w14:paraId="47F623C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食品溯源要求：食品供应链必须明确，所有食品的来源必须清晰，来源应当是受到地方政府部门监管的流通市场或具有相关资质的厂家生产，食品生产企业必须获得全国工业产品生产许可证（SC），生产食品的源头与中标供应商要有固定的合法的供应关系。中标供应商应保存以下资料：</w:t>
      </w:r>
    </w:p>
    <w:p w14:paraId="76BA4E2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6.1中标供应商与生产企业或上一级供应商的销售合同；</w:t>
      </w:r>
    </w:p>
    <w:p w14:paraId="1F0730A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6.2生产企业或上一级供应商的送货单和销售发票；</w:t>
      </w:r>
    </w:p>
    <w:p w14:paraId="25EE678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6.3中标供应商与采购人的采购合同及送货单据、销售发票。</w:t>
      </w:r>
    </w:p>
    <w:p w14:paraId="68957F2B">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eastAsia="zh-CN"/>
        </w:rPr>
        <w:t>四、货物配送及卸货要求：</w:t>
      </w:r>
    </w:p>
    <w:p w14:paraId="72E6D18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w:t>
      </w:r>
      <w:r>
        <w:rPr>
          <w:rFonts w:hint="eastAsia" w:ascii="宋体" w:hAnsi="宋体" w:eastAsia="宋体" w:cs="宋体"/>
          <w:color w:val="auto"/>
          <w:sz w:val="22"/>
          <w:highlight w:val="none"/>
          <w:lang w:val="en-US" w:eastAsia="zh-CN"/>
        </w:rPr>
        <w:t>采购人至少提前一天以软件系统、邮件、传真或电话方式向中标供应商下订单，订单内容包括食材的名称、规格、数量、送达时间等，</w:t>
      </w:r>
      <w:r>
        <w:rPr>
          <w:rFonts w:hint="eastAsia" w:ascii="宋体" w:hAnsi="宋体" w:eastAsia="宋体" w:cs="宋体"/>
          <w:snapToGrid/>
          <w:color w:val="auto"/>
          <w:kern w:val="2"/>
          <w:sz w:val="22"/>
          <w:szCs w:val="22"/>
          <w:highlight w:val="none"/>
          <w:lang w:eastAsia="zh-CN"/>
        </w:rPr>
        <w:t>中标供应商应保证采购人所订当天所有货物于每天</w:t>
      </w:r>
      <w:r>
        <w:rPr>
          <w:rFonts w:hint="eastAsia" w:ascii="宋体" w:hAnsi="宋体" w:eastAsia="宋体" w:cs="宋体"/>
          <w:snapToGrid/>
          <w:color w:val="auto"/>
          <w:kern w:val="2"/>
          <w:sz w:val="22"/>
          <w:szCs w:val="22"/>
          <w:highlight w:val="none"/>
          <w:lang w:val="en-US" w:eastAsia="zh-CN"/>
        </w:rPr>
        <w:t>上午5：30</w:t>
      </w:r>
      <w:r>
        <w:rPr>
          <w:rFonts w:hint="eastAsia" w:ascii="宋体" w:hAnsi="宋体" w:eastAsia="宋体" w:cs="宋体"/>
          <w:snapToGrid/>
          <w:color w:val="auto"/>
          <w:kern w:val="2"/>
          <w:sz w:val="22"/>
          <w:szCs w:val="22"/>
          <w:highlight w:val="none"/>
          <w:lang w:eastAsia="zh-CN"/>
        </w:rPr>
        <w:t>前送达采购人指定地点。</w:t>
      </w:r>
    </w:p>
    <w:p w14:paraId="58993DE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2、每天食材配送前，中标</w:t>
      </w:r>
      <w:r>
        <w:rPr>
          <w:rFonts w:hint="eastAsia" w:ascii="宋体" w:hAnsi="宋体" w:eastAsia="宋体" w:cs="宋体"/>
          <w:snapToGrid/>
          <w:color w:val="auto"/>
          <w:kern w:val="2"/>
          <w:sz w:val="22"/>
          <w:szCs w:val="22"/>
          <w:highlight w:val="none"/>
          <w:lang w:val="en-US" w:eastAsia="zh-CN"/>
        </w:rPr>
        <w:t>供应商</w:t>
      </w:r>
      <w:r>
        <w:rPr>
          <w:rFonts w:hint="eastAsia" w:ascii="宋体" w:hAnsi="宋体" w:eastAsia="宋体" w:cs="宋体"/>
          <w:snapToGrid/>
          <w:color w:val="auto"/>
          <w:kern w:val="2"/>
          <w:sz w:val="22"/>
          <w:szCs w:val="22"/>
          <w:highlight w:val="none"/>
          <w:lang w:eastAsia="zh-CN"/>
        </w:rPr>
        <w:t>的采购负责人，要清点食材数量，质量，生产日期，检测报告等正确无误方可配送到</w:t>
      </w:r>
      <w:r>
        <w:rPr>
          <w:rFonts w:hint="eastAsia" w:ascii="宋体" w:hAnsi="宋体" w:eastAsia="宋体" w:cs="宋体"/>
          <w:snapToGrid/>
          <w:color w:val="auto"/>
          <w:kern w:val="2"/>
          <w:sz w:val="22"/>
          <w:szCs w:val="22"/>
          <w:highlight w:val="none"/>
          <w:lang w:val="en-US" w:eastAsia="zh-CN"/>
        </w:rPr>
        <w:t>采购人指定地点</w:t>
      </w:r>
      <w:r>
        <w:rPr>
          <w:rFonts w:hint="eastAsia" w:ascii="宋体" w:hAnsi="宋体" w:eastAsia="宋体" w:cs="宋体"/>
          <w:snapToGrid/>
          <w:color w:val="auto"/>
          <w:kern w:val="2"/>
          <w:sz w:val="22"/>
          <w:szCs w:val="22"/>
          <w:highlight w:val="none"/>
          <w:lang w:eastAsia="zh-CN"/>
        </w:rPr>
        <w:t>。</w:t>
      </w:r>
    </w:p>
    <w:p w14:paraId="66D6BE7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3、</w:t>
      </w:r>
      <w:r>
        <w:rPr>
          <w:rFonts w:hint="eastAsia" w:ascii="宋体" w:hAnsi="宋体" w:eastAsia="宋体" w:cs="宋体"/>
          <w:snapToGrid/>
          <w:color w:val="auto"/>
          <w:kern w:val="2"/>
          <w:sz w:val="22"/>
          <w:szCs w:val="22"/>
          <w:highlight w:val="none"/>
          <w:lang w:eastAsia="zh-CN"/>
        </w:rPr>
        <w:t>食品运输必须采用符合国家标准的外包装和运载工具，并且要保持清洁和定期消毒。运输车厢的内仓，包括地面、墙面和顶，应使用抗腐蚀、防潮，易清洁消毒的材料。车厢内无不良气味、异味。</w:t>
      </w:r>
    </w:p>
    <w:p w14:paraId="08D03253">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4</w:t>
      </w:r>
      <w:r>
        <w:rPr>
          <w:rFonts w:hint="eastAsia" w:ascii="宋体" w:hAnsi="宋体" w:eastAsia="宋体" w:cs="宋体"/>
          <w:snapToGrid/>
          <w:color w:val="auto"/>
          <w:kern w:val="2"/>
          <w:sz w:val="22"/>
          <w:szCs w:val="22"/>
          <w:highlight w:val="none"/>
          <w:lang w:eastAsia="zh-CN"/>
        </w:rPr>
        <w:t>、冷藏、冷冻食品必须用必要的保温设备并在整个运输过程中保持安全的冷藏、冷冻温度。特别是对于长途运输的食品，保证食品在运输全过程处于合适的温度范围。整个运输过程应科学合理，运输车辆应定期清洁，保持性能稳定，符合规定的温度要求，使运输食品处于恒定的环境中。</w:t>
      </w:r>
    </w:p>
    <w:p w14:paraId="3B54B83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5</w:t>
      </w:r>
      <w:r>
        <w:rPr>
          <w:rFonts w:hint="eastAsia" w:ascii="宋体" w:hAnsi="宋体" w:eastAsia="宋体" w:cs="宋体"/>
          <w:snapToGrid/>
          <w:color w:val="auto"/>
          <w:kern w:val="2"/>
          <w:sz w:val="22"/>
          <w:szCs w:val="22"/>
          <w:highlight w:val="none"/>
          <w:lang w:eastAsia="zh-CN"/>
        </w:rPr>
        <w:t>、送货车辆应保持清洁；食品堆放科学合理，避免造成食品的交叉污染；如对温度有要求的食品应确定食品的温度，记录送货车辆温度，并记录存档。</w:t>
      </w:r>
    </w:p>
    <w:p w14:paraId="113A412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val="en-US" w:eastAsia="zh-CN"/>
        </w:rPr>
        <w:t>6</w:t>
      </w:r>
      <w:r>
        <w:rPr>
          <w:rFonts w:hint="eastAsia" w:ascii="宋体" w:hAnsi="宋体" w:eastAsia="宋体" w:cs="宋体"/>
          <w:snapToGrid/>
          <w:color w:val="auto"/>
          <w:kern w:val="2"/>
          <w:sz w:val="22"/>
          <w:szCs w:val="22"/>
          <w:highlight w:val="none"/>
          <w:lang w:eastAsia="zh-CN"/>
        </w:rPr>
        <w:t>、在配送卸货环节中应保证冷藏食品脱离冷链时间不得超过20 分钟，冷冻食品脱离冷链时间不得超过30分钟。</w:t>
      </w:r>
    </w:p>
    <w:p w14:paraId="0027F6BF">
      <w:pPr>
        <w:keepNext w:val="0"/>
        <w:keepLines w:val="0"/>
        <w:spacing w:line="420" w:lineRule="exact"/>
        <w:ind w:firstLine="440" w:firstLineChars="200"/>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7、</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highlight w:val="none"/>
          <w:lang w:val="en-US" w:eastAsia="zh-CN"/>
        </w:rPr>
        <w:t>每次配送食材时，中标供应商需派遣具有食品安全管理证书，熟识食品采购查验流程的工作人员，每天随食材到现场协助采购人进行收货查验。（投标时投标人须提供关于上述内容的承诺函，并在中标后将上述工作人员证书复印件提交给采购人备案）</w:t>
      </w:r>
    </w:p>
    <w:p w14:paraId="699C158E">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eastAsia="zh-CN"/>
        </w:rPr>
        <w:t>五、食品质量的基本检查：</w:t>
      </w:r>
    </w:p>
    <w:p w14:paraId="3000873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中标供应商应充分理解并认真遵循本招标文件的要求，所提供的货物必须是满足招标文件要求。保证合同货品均为正规生产的新鲜（冰鲜除外）、检验合格、无毒、诚实、无辐射、无侵权货品，符合国家有关质量、包装和保质标准，有使用有效期的货品，其剩余有效期不得少于标注有效期的80%（</w:t>
      </w:r>
      <w:r>
        <w:rPr>
          <w:rFonts w:hint="eastAsia" w:ascii="宋体" w:hAnsi="宋体" w:eastAsia="宋体" w:cs="宋体"/>
          <w:snapToGrid/>
          <w:color w:val="auto"/>
          <w:kern w:val="2"/>
          <w:sz w:val="22"/>
          <w:szCs w:val="22"/>
          <w:highlight w:val="none"/>
          <w:lang w:val="en-US" w:eastAsia="zh-CN"/>
        </w:rPr>
        <w:t>或剩余有效期不少于六个月</w:t>
      </w:r>
      <w:r>
        <w:rPr>
          <w:rFonts w:hint="eastAsia" w:ascii="宋体" w:hAnsi="宋体" w:eastAsia="宋体" w:cs="宋体"/>
          <w:snapToGrid/>
          <w:color w:val="auto"/>
          <w:kern w:val="2"/>
          <w:sz w:val="22"/>
          <w:szCs w:val="22"/>
          <w:highlight w:val="none"/>
          <w:lang w:eastAsia="zh-CN"/>
        </w:rPr>
        <w:t>）。</w:t>
      </w:r>
    </w:p>
    <w:p w14:paraId="169C437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2、食品应清洁，并符合企业相关验收标准；食品应无损伤、腐烂现象，无寄生虫或已受虫害现象；对温度有要求的食品应确定食品的温度与包装上指示温度一致。</w:t>
      </w:r>
    </w:p>
    <w:p w14:paraId="0D99BCD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3、货物有包装的，货物的包装必须完整清洁（无损、无污、无皱）。冷冻食品没有曾经解冻痕迹或软化现象，包装呈干爽状态。采购人有权拒收包装不整齐、已拆封的商品。</w:t>
      </w:r>
    </w:p>
    <w:p w14:paraId="7E22CA8E">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4、采购人发现商品出现损坏（包括表面损坏），或出现水渍、串味、受潮等导致货物性质改变的，中标供应商必须无条件退货或更换商品。</w:t>
      </w:r>
    </w:p>
    <w:p w14:paraId="7C6694A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5、对食品检查如下：</w:t>
      </w:r>
    </w:p>
    <w:p w14:paraId="52E2230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①中标供应商供应的食品必须符合国家食品药品监督管理部门的有关法规要求或标准，如无标准，按行业规范。采购生产、经营证明文件齐备，明确食品来源，并具有检验合格证明。严禁采购有害、有毒、腐烂变质、酸败、霉变、生虫、污垢不洁、混有异物或其他感官性状异常的食品。禁止采购超过保质期限的食品。</w:t>
      </w:r>
    </w:p>
    <w:p w14:paraId="04BFD239">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②食品包装必须符合国家规范。采购的食品不得存放在有害、有毒的容器内。食品包装上必须使用原产地标识，应注明：制造商名称和厂址、食品名称和重（容）量、生产日期和保质期限以及规格和SC 认证等。</w:t>
      </w:r>
    </w:p>
    <w:p w14:paraId="3E69678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③对不符合采购要求的食品由验收人员提出清退，退货前应实行留板备案，如双方对质量争议可送国家质监部门检测。对缺斤短两（或含水量超标）的应按实际重量扣减。</w:t>
      </w:r>
    </w:p>
    <w:p w14:paraId="73CCAF7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6、中标供应商应能够配合采购人及时更新所提供的符合卫监部门的有效证明材料。如有效的营业执照、产品合格证、食品经营许可证等。</w:t>
      </w:r>
    </w:p>
    <w:p w14:paraId="355B7D3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7、中标供应商提供假冒伪劣、过期、变质的、有毒食品的，一经发现，除按采购人要求无条件退货或换货外，还将受到如下处罚：</w:t>
      </w:r>
    </w:p>
    <w:p w14:paraId="5FC22897">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①中标供应商提供假冒伪劣、过期、变质食品的，要求无条件退货或换货外，被处以当次供应食品货款2 倍的罚款，罚款由供货结算款内扣除。</w:t>
      </w:r>
    </w:p>
    <w:p w14:paraId="581A88B0">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②中标供应商提供有毒食品的，造成食品安全事故的，经有关单位鉴定原因后，如确实为中标供应商提供之食品问题，中标供应商除需负担全数之医药费外，采购人终止合同，中标供应商同时承担相应的民事及刑事法律责任及放弃先诉抗辩权。</w:t>
      </w:r>
    </w:p>
    <w:p w14:paraId="4C16E094">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eastAsia="zh-CN"/>
        </w:rPr>
        <w:t>六、临时增货及退（补）货：</w:t>
      </w:r>
    </w:p>
    <w:p w14:paraId="5B4A86A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1、如采购人需要临时增加补货，中标供应商必须按采购人规定时间内将货物保质保量送到采购人指定地点。</w:t>
      </w:r>
    </w:p>
    <w:p w14:paraId="615675BC">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对不符合质量要求的食品由采购人使用单位验收人员提出清退，如双方对质量或重量有争议的可送具有检验资质的部门检测，同时留样备检，对数量不足或部分退货的，责成中标供应商以不影响食堂供应为前提尽快补送。在退货过程中，对有碍公共卫生安全的食品，应按国家有关规定处理或进行协议销毁，不退货给中标供应商。</w:t>
      </w:r>
    </w:p>
    <w:p w14:paraId="3D91130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3、如遇到不可抗力的因素或上级临时要求停课的情况，采购人提出退货申请，中标供应商需无条件配合退货。</w:t>
      </w:r>
    </w:p>
    <w:p w14:paraId="1AD64FEF">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val="en-US" w:eastAsia="zh-CN"/>
        </w:rPr>
        <w:t>七</w:t>
      </w:r>
      <w:r>
        <w:rPr>
          <w:rFonts w:hint="eastAsia" w:ascii="宋体" w:hAnsi="宋体" w:eastAsia="宋体" w:cs="宋体"/>
          <w:b/>
          <w:bCs/>
          <w:snapToGrid/>
          <w:color w:val="auto"/>
          <w:kern w:val="2"/>
          <w:sz w:val="22"/>
          <w:szCs w:val="22"/>
          <w:highlight w:val="none"/>
          <w:lang w:eastAsia="zh-CN"/>
        </w:rPr>
        <w:t>、保密条款：</w:t>
      </w:r>
    </w:p>
    <w:p w14:paraId="7310D1A2">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中标供应商在实施货物供货期间，不得将供货的实际数量及供货地点泄露给其他企业或者个人，中标供应商必须指派相对固定的人员完成货物配送服务，并需将配送人员的详细资料报采购人备案，货物配送人员必须遵纪守法、品行良好，无违法犯罪记录。如需要更换配送人员，必须事先通知采购人并将其个人资料送采购人审批，审批合格者才能更换。</w:t>
      </w:r>
    </w:p>
    <w:p w14:paraId="7B0237CA">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val="en-US" w:eastAsia="zh-CN"/>
        </w:rPr>
        <w:t>八</w:t>
      </w:r>
      <w:r>
        <w:rPr>
          <w:rFonts w:hint="eastAsia" w:ascii="宋体" w:hAnsi="宋体" w:eastAsia="宋体" w:cs="宋体"/>
          <w:b/>
          <w:bCs/>
          <w:snapToGrid/>
          <w:color w:val="auto"/>
          <w:kern w:val="2"/>
          <w:sz w:val="22"/>
          <w:szCs w:val="22"/>
          <w:highlight w:val="none"/>
          <w:lang w:eastAsia="zh-CN"/>
        </w:rPr>
        <w:t>、考核管理及违约处罚机制：</w:t>
      </w:r>
    </w:p>
    <w:p w14:paraId="31946958">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采购人每月安排相关人员对中标供应商进行食材及服务质量考核跟踪，壹个月为一个考核期，根据食品安全第一，品质控制和服务质量并列第二的精神，编制《东莞市莞城中心小学食材配送供应商考核评价表》为评分依据（详见附表）。中标供应商承诺其提供服务符合中标供应商文件要求，确认在考核不达标时承担违约责任。具体如下：</w:t>
      </w:r>
    </w:p>
    <w:p w14:paraId="7200FA7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当中标供应商的考核成绩良（考核成绩分数在95分～86分区间段），前两次采购人向中标供应商下达《整改意见书》，中标供应商累计出现三次考核成绩良时，采购人有权在当月货款中扣除人民币3000元作为违约金。</w:t>
      </w:r>
    </w:p>
    <w:p w14:paraId="0330A840">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2、当中标供应商的考核成绩一般（考核成绩分数85分～76分区间段），采购人向中标供应商下达《整改意见书》并在当月货款中扣除人民币5000元作为违约金。</w:t>
      </w:r>
    </w:p>
    <w:p w14:paraId="309268F6">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3、当中标供应商的考核成绩差（低于76分）时，采购人向中标供应商下达《整改意见书》并在当月货款中扣除人民币8000元作为违约金。</w:t>
      </w:r>
    </w:p>
    <w:p w14:paraId="7E755D7F">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eastAsia="zh-CN"/>
        </w:rPr>
      </w:pPr>
      <w:r>
        <w:rPr>
          <w:rFonts w:hint="eastAsia" w:ascii="宋体" w:hAnsi="宋体" w:eastAsia="宋体" w:cs="宋体"/>
          <w:b/>
          <w:bCs/>
          <w:snapToGrid/>
          <w:color w:val="auto"/>
          <w:kern w:val="2"/>
          <w:sz w:val="22"/>
          <w:szCs w:val="22"/>
          <w:highlight w:val="none"/>
          <w:lang w:val="en-US" w:eastAsia="zh-CN"/>
        </w:rPr>
        <w:t>九</w:t>
      </w:r>
      <w:r>
        <w:rPr>
          <w:rFonts w:hint="eastAsia" w:ascii="宋体" w:hAnsi="宋体" w:eastAsia="宋体" w:cs="宋体"/>
          <w:b/>
          <w:bCs/>
          <w:snapToGrid/>
          <w:color w:val="auto"/>
          <w:kern w:val="2"/>
          <w:sz w:val="22"/>
          <w:szCs w:val="22"/>
          <w:highlight w:val="none"/>
          <w:lang w:eastAsia="zh-CN"/>
        </w:rPr>
        <w:t>、违约及安全事故处理措施：</w:t>
      </w:r>
    </w:p>
    <w:p w14:paraId="1C6643D1">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1、对供货期间出现下列情况之一的，采购人有权无条件单方面终止合同：</w:t>
      </w:r>
    </w:p>
    <w:p w14:paraId="3929DA7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（1）因配送原材料问题，发生师生食物中毒等食材安全责任事故，且造成严重后果的。</w:t>
      </w:r>
    </w:p>
    <w:p w14:paraId="3E6E7B5B">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（2）在原材料配送过程中，存在掺杂作假，销售劣质、有害过期或无证食品等违规行为，经学校规劝，或经教育主管部门、食品药品监督管理部门要求整改依然无效的。</w:t>
      </w:r>
    </w:p>
    <w:p w14:paraId="1A042FA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（3）在经营过程中，存在转包、分包和挂靠经营行为的。</w:t>
      </w:r>
    </w:p>
    <w:p w14:paraId="0EBE6E84">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（4）在招投标时以弄虚作假等欺诈手段获得准入资格的，或经营情况发生变化已不符合准入条件而又不改变的。</w:t>
      </w:r>
    </w:p>
    <w:p w14:paraId="1EC298A5">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（5）中标供应商配送的食材已过保质期或保存期。</w:t>
      </w:r>
    </w:p>
    <w:p w14:paraId="5A23683F">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snapToGrid/>
          <w:color w:val="auto"/>
          <w:kern w:val="2"/>
          <w:sz w:val="22"/>
          <w:szCs w:val="22"/>
          <w:highlight w:val="none"/>
          <w:lang w:eastAsia="zh-CN"/>
        </w:rPr>
      </w:pPr>
      <w:r>
        <w:rPr>
          <w:rFonts w:hint="eastAsia" w:ascii="宋体" w:hAnsi="宋体" w:eastAsia="宋体" w:cs="宋体"/>
          <w:snapToGrid/>
          <w:color w:val="auto"/>
          <w:kern w:val="2"/>
          <w:sz w:val="22"/>
          <w:szCs w:val="22"/>
          <w:highlight w:val="none"/>
          <w:lang w:eastAsia="zh-CN"/>
        </w:rPr>
        <w:t>2、如在食品药品监督管理部门抽检采购人单位过程中，发现中标供应商提供不符合国家食品安全标准的产品或食品，一切责任由中标供应商负责。</w:t>
      </w:r>
    </w:p>
    <w:p w14:paraId="0B142EB9">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default" w:ascii="宋体" w:hAnsi="宋体" w:eastAsia="宋体" w:cs="宋体"/>
          <w:b/>
          <w:bCs/>
          <w:snapToGrid/>
          <w:color w:val="auto"/>
          <w:kern w:val="2"/>
          <w:sz w:val="22"/>
          <w:szCs w:val="22"/>
          <w:highlight w:val="none"/>
          <w:lang w:val="en-US" w:eastAsia="zh-CN"/>
        </w:rPr>
      </w:pPr>
      <w:r>
        <w:rPr>
          <w:rFonts w:hint="eastAsia" w:ascii="宋体" w:hAnsi="宋体" w:eastAsia="宋体" w:cs="宋体"/>
          <w:b/>
          <w:bCs/>
          <w:snapToGrid/>
          <w:color w:val="auto"/>
          <w:kern w:val="2"/>
          <w:sz w:val="22"/>
          <w:szCs w:val="22"/>
          <w:highlight w:val="none"/>
          <w:lang w:val="en-US" w:eastAsia="zh-CN"/>
        </w:rPr>
        <w:t>十、退出机制</w:t>
      </w:r>
    </w:p>
    <w:p w14:paraId="1C83CD8D">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b/>
          <w:bCs/>
          <w:snapToGrid/>
          <w:color w:val="auto"/>
          <w:kern w:val="2"/>
          <w:sz w:val="22"/>
          <w:szCs w:val="22"/>
          <w:highlight w:val="none"/>
          <w:lang w:val="en-US" w:eastAsia="zh-CN"/>
        </w:rPr>
      </w:pPr>
      <w:r>
        <w:rPr>
          <w:rFonts w:hint="eastAsia" w:ascii="宋体" w:hAnsi="宋体" w:eastAsia="宋体" w:cs="宋体"/>
          <w:snapToGrid/>
          <w:color w:val="auto"/>
          <w:kern w:val="2"/>
          <w:sz w:val="22"/>
          <w:szCs w:val="22"/>
          <w:highlight w:val="none"/>
          <w:lang w:eastAsia="zh-CN"/>
        </w:rPr>
        <w:t>中标供应商一年内累计出现三次考核成绩差（</w:t>
      </w:r>
      <w:r>
        <w:rPr>
          <w:rFonts w:hint="eastAsia" w:ascii="宋体" w:hAnsi="宋体" w:eastAsia="宋体" w:cs="宋体"/>
          <w:snapToGrid/>
          <w:color w:val="auto"/>
          <w:kern w:val="2"/>
          <w:sz w:val="22"/>
          <w:szCs w:val="22"/>
          <w:highlight w:val="none"/>
          <w:lang w:val="en-US" w:eastAsia="zh-CN"/>
        </w:rPr>
        <w:t>即月考核分低于76分</w:t>
      </w:r>
      <w:r>
        <w:rPr>
          <w:rFonts w:hint="eastAsia" w:ascii="宋体" w:hAnsi="宋体" w:eastAsia="宋体" w:cs="宋体"/>
          <w:snapToGrid/>
          <w:color w:val="auto"/>
          <w:kern w:val="2"/>
          <w:sz w:val="22"/>
          <w:szCs w:val="22"/>
          <w:highlight w:val="none"/>
          <w:lang w:eastAsia="zh-CN"/>
        </w:rPr>
        <w:t>）时，采购人有权无条件单方面终止合同。</w:t>
      </w:r>
    </w:p>
    <w:p w14:paraId="038019F4">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bCs/>
          <w:snapToGrid/>
          <w:color w:val="auto"/>
          <w:kern w:val="2"/>
          <w:sz w:val="22"/>
          <w:szCs w:val="22"/>
          <w:highlight w:val="none"/>
          <w:lang w:val="en-US" w:eastAsia="zh-CN"/>
        </w:rPr>
      </w:pPr>
      <w:r>
        <w:rPr>
          <w:rFonts w:hint="eastAsia" w:ascii="宋体" w:hAnsi="宋体" w:eastAsia="宋体" w:cs="宋体"/>
          <w:b/>
          <w:bCs/>
          <w:snapToGrid/>
          <w:color w:val="auto"/>
          <w:kern w:val="2"/>
          <w:sz w:val="22"/>
          <w:szCs w:val="22"/>
          <w:highlight w:val="none"/>
          <w:lang w:val="en-US" w:eastAsia="zh-CN"/>
        </w:rPr>
        <w:t>十一 附表</w:t>
      </w:r>
    </w:p>
    <w:p w14:paraId="6761D982">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default" w:ascii="宋体" w:hAnsi="宋体" w:eastAsia="宋体" w:cs="宋体"/>
          <w:b/>
          <w:snapToGrid/>
          <w:color w:val="auto"/>
          <w:kern w:val="2"/>
          <w:sz w:val="22"/>
          <w:szCs w:val="22"/>
          <w:highlight w:val="none"/>
          <w:lang w:val="en-US" w:eastAsia="zh-CN"/>
        </w:rPr>
      </w:pPr>
      <w:r>
        <w:rPr>
          <w:rFonts w:hint="default" w:ascii="宋体" w:hAnsi="宋体" w:eastAsia="宋体" w:cs="宋体"/>
          <w:b/>
          <w:snapToGrid/>
          <w:color w:val="auto"/>
          <w:kern w:val="2"/>
          <w:sz w:val="22"/>
          <w:szCs w:val="22"/>
          <w:highlight w:val="none"/>
          <w:lang w:val="en-US" w:eastAsia="zh-CN"/>
        </w:rPr>
        <w:t>东莞市莞城中心小学食材配送供应商考核评价表</w:t>
      </w:r>
    </w:p>
    <w:tbl>
      <w:tblPr>
        <w:tblStyle w:val="8"/>
        <w:tblW w:w="4999" w:type="pct"/>
        <w:tblInd w:w="0" w:type="dxa"/>
        <w:tblLayout w:type="autofit"/>
        <w:tblCellMar>
          <w:top w:w="0" w:type="dxa"/>
          <w:left w:w="108" w:type="dxa"/>
          <w:bottom w:w="0" w:type="dxa"/>
          <w:right w:w="108" w:type="dxa"/>
        </w:tblCellMar>
      </w:tblPr>
      <w:tblGrid>
        <w:gridCol w:w="656"/>
        <w:gridCol w:w="2196"/>
        <w:gridCol w:w="656"/>
        <w:gridCol w:w="3252"/>
        <w:gridCol w:w="446"/>
        <w:gridCol w:w="657"/>
        <w:gridCol w:w="657"/>
      </w:tblGrid>
      <w:tr w14:paraId="3DB37956">
        <w:tblPrEx>
          <w:tblCellMar>
            <w:top w:w="0" w:type="dxa"/>
            <w:left w:w="108" w:type="dxa"/>
            <w:bottom w:w="0" w:type="dxa"/>
            <w:right w:w="108" w:type="dxa"/>
          </w:tblCellMar>
        </w:tblPrEx>
        <w:trPr>
          <w:trHeight w:val="554" w:hRule="atLeast"/>
        </w:trPr>
        <w:tc>
          <w:tcPr>
            <w:tcW w:w="1204" w:type="pct"/>
            <w:gridSpan w:val="2"/>
            <w:tcBorders>
              <w:top w:val="single" w:color="auto" w:sz="4" w:space="0"/>
              <w:left w:val="single" w:color="auto" w:sz="4" w:space="0"/>
              <w:bottom w:val="single" w:color="auto" w:sz="4" w:space="0"/>
              <w:right w:val="nil"/>
            </w:tcBorders>
            <w:noWrap/>
            <w:vAlign w:val="center"/>
          </w:tcPr>
          <w:p w14:paraId="23FD2757">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食材供应商名称：</w:t>
            </w:r>
          </w:p>
        </w:tc>
        <w:tc>
          <w:tcPr>
            <w:tcW w:w="306" w:type="pct"/>
            <w:tcBorders>
              <w:top w:val="single" w:color="auto" w:sz="4" w:space="0"/>
              <w:left w:val="nil"/>
              <w:bottom w:val="single" w:color="auto" w:sz="4" w:space="0"/>
              <w:right w:val="nil"/>
            </w:tcBorders>
            <w:noWrap/>
            <w:vAlign w:val="center"/>
          </w:tcPr>
          <w:p w14:paraId="6C3FA25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3488" w:type="pct"/>
            <w:gridSpan w:val="4"/>
            <w:tcBorders>
              <w:top w:val="single" w:color="auto" w:sz="4" w:space="0"/>
              <w:left w:val="nil"/>
              <w:bottom w:val="single" w:color="auto" w:sz="4" w:space="0"/>
              <w:right w:val="single" w:color="000000" w:sz="4" w:space="0"/>
            </w:tcBorders>
            <w:noWrap/>
            <w:vAlign w:val="center"/>
          </w:tcPr>
          <w:p w14:paraId="54349089">
            <w:pPr>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审核月份：   年   月份</w:t>
            </w:r>
          </w:p>
        </w:tc>
      </w:tr>
      <w:tr w14:paraId="4646CFED">
        <w:tblPrEx>
          <w:tblCellMar>
            <w:top w:w="0" w:type="dxa"/>
            <w:left w:w="108" w:type="dxa"/>
            <w:bottom w:w="0" w:type="dxa"/>
            <w:right w:w="108" w:type="dxa"/>
          </w:tblCellMar>
        </w:tblPrEx>
        <w:trPr>
          <w:trHeight w:val="1090" w:hRule="atLeast"/>
        </w:trPr>
        <w:tc>
          <w:tcPr>
            <w:tcW w:w="343" w:type="pct"/>
            <w:tcBorders>
              <w:top w:val="nil"/>
              <w:left w:val="single" w:color="auto" w:sz="4" w:space="0"/>
              <w:bottom w:val="single" w:color="auto" w:sz="4" w:space="0"/>
              <w:right w:val="single" w:color="auto" w:sz="4" w:space="0"/>
            </w:tcBorders>
            <w:noWrap/>
            <w:vAlign w:val="center"/>
          </w:tcPr>
          <w:p w14:paraId="1032E7D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861" w:type="pct"/>
            <w:tcBorders>
              <w:top w:val="nil"/>
              <w:left w:val="nil"/>
              <w:bottom w:val="single" w:color="auto" w:sz="4" w:space="0"/>
              <w:right w:val="single" w:color="auto" w:sz="4" w:space="0"/>
            </w:tcBorders>
            <w:noWrap/>
            <w:vAlign w:val="center"/>
          </w:tcPr>
          <w:p w14:paraId="078F3BD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食材种类</w:t>
            </w:r>
          </w:p>
        </w:tc>
        <w:tc>
          <w:tcPr>
            <w:tcW w:w="306" w:type="pct"/>
            <w:tcBorders>
              <w:top w:val="nil"/>
              <w:left w:val="nil"/>
              <w:bottom w:val="single" w:color="auto" w:sz="4" w:space="0"/>
              <w:right w:val="single" w:color="auto" w:sz="4" w:space="0"/>
            </w:tcBorders>
            <w:noWrap/>
            <w:vAlign w:val="center"/>
          </w:tcPr>
          <w:p w14:paraId="6020092E">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分值</w:t>
            </w:r>
          </w:p>
        </w:tc>
        <w:tc>
          <w:tcPr>
            <w:tcW w:w="2621" w:type="pct"/>
            <w:gridSpan w:val="2"/>
            <w:tcBorders>
              <w:top w:val="nil"/>
              <w:left w:val="nil"/>
              <w:bottom w:val="single" w:color="auto" w:sz="4" w:space="0"/>
              <w:right w:val="single" w:color="auto" w:sz="4" w:space="0"/>
            </w:tcBorders>
            <w:noWrap/>
            <w:vAlign w:val="center"/>
          </w:tcPr>
          <w:p w14:paraId="3A65BBF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评价依据</w:t>
            </w:r>
          </w:p>
        </w:tc>
        <w:tc>
          <w:tcPr>
            <w:tcW w:w="429" w:type="pct"/>
            <w:tcBorders>
              <w:top w:val="nil"/>
              <w:left w:val="nil"/>
              <w:bottom w:val="single" w:color="auto" w:sz="4" w:space="0"/>
              <w:right w:val="single" w:color="auto" w:sz="4" w:space="0"/>
            </w:tcBorders>
            <w:noWrap/>
            <w:vAlign w:val="center"/>
          </w:tcPr>
          <w:p w14:paraId="0D70243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得分</w:t>
            </w:r>
          </w:p>
        </w:tc>
        <w:tc>
          <w:tcPr>
            <w:tcW w:w="437" w:type="pct"/>
            <w:tcBorders>
              <w:top w:val="nil"/>
              <w:left w:val="nil"/>
              <w:bottom w:val="single" w:color="auto" w:sz="4" w:space="0"/>
              <w:right w:val="single" w:color="auto" w:sz="4" w:space="0"/>
            </w:tcBorders>
            <w:noWrap/>
            <w:vAlign w:val="center"/>
          </w:tcPr>
          <w:p w14:paraId="18BD315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14:paraId="2453A99C">
        <w:tblPrEx>
          <w:tblCellMar>
            <w:top w:w="0" w:type="dxa"/>
            <w:left w:w="108" w:type="dxa"/>
            <w:bottom w:w="0" w:type="dxa"/>
            <w:right w:w="108" w:type="dxa"/>
          </w:tblCellMar>
        </w:tblPrEx>
        <w:trPr>
          <w:trHeight w:val="554" w:hRule="atLeast"/>
        </w:trPr>
        <w:tc>
          <w:tcPr>
            <w:tcW w:w="5000" w:type="pct"/>
            <w:gridSpan w:val="7"/>
            <w:tcBorders>
              <w:top w:val="single" w:color="auto" w:sz="4" w:space="0"/>
              <w:left w:val="single" w:color="auto" w:sz="4" w:space="0"/>
              <w:bottom w:val="single" w:color="auto" w:sz="4" w:space="0"/>
              <w:right w:val="single" w:color="000000" w:sz="4" w:space="0"/>
            </w:tcBorders>
            <w:noWrap/>
            <w:vAlign w:val="center"/>
          </w:tcPr>
          <w:p w14:paraId="2E57742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食材配送情况考核(共72分)</w:t>
            </w:r>
          </w:p>
        </w:tc>
      </w:tr>
      <w:tr w14:paraId="1A7C66FA">
        <w:tblPrEx>
          <w:tblCellMar>
            <w:top w:w="0" w:type="dxa"/>
            <w:left w:w="108" w:type="dxa"/>
            <w:bottom w:w="0" w:type="dxa"/>
            <w:right w:w="108" w:type="dxa"/>
          </w:tblCellMar>
        </w:tblPrEx>
        <w:trPr>
          <w:trHeight w:val="554" w:hRule="atLeast"/>
        </w:trPr>
        <w:tc>
          <w:tcPr>
            <w:tcW w:w="343" w:type="pct"/>
            <w:vMerge w:val="restart"/>
            <w:tcBorders>
              <w:top w:val="nil"/>
              <w:left w:val="single" w:color="auto" w:sz="4" w:space="0"/>
              <w:right w:val="single" w:color="auto" w:sz="4" w:space="0"/>
            </w:tcBorders>
            <w:noWrap/>
            <w:vAlign w:val="center"/>
          </w:tcPr>
          <w:p w14:paraId="7B76D95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61" w:type="pct"/>
            <w:vMerge w:val="restart"/>
            <w:tcBorders>
              <w:top w:val="nil"/>
              <w:left w:val="nil"/>
              <w:right w:val="single" w:color="auto" w:sz="4" w:space="0"/>
            </w:tcBorders>
            <w:noWrap/>
            <w:vAlign w:val="center"/>
          </w:tcPr>
          <w:p w14:paraId="4D7ED55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粮食大米类</w:t>
            </w:r>
          </w:p>
        </w:tc>
        <w:tc>
          <w:tcPr>
            <w:tcW w:w="306" w:type="pct"/>
            <w:vMerge w:val="restart"/>
            <w:tcBorders>
              <w:top w:val="nil"/>
              <w:left w:val="nil"/>
              <w:right w:val="single" w:color="auto" w:sz="4" w:space="0"/>
            </w:tcBorders>
            <w:noWrap/>
            <w:vAlign w:val="center"/>
          </w:tcPr>
          <w:p w14:paraId="7C6A062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017F6E55">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优：颜米粒色洁白、有光泽的，得6分。</w:t>
            </w:r>
          </w:p>
        </w:tc>
        <w:tc>
          <w:tcPr>
            <w:tcW w:w="429" w:type="pct"/>
            <w:vMerge w:val="restart"/>
            <w:tcBorders>
              <w:top w:val="nil"/>
              <w:left w:val="nil"/>
              <w:right w:val="single" w:color="auto" w:sz="4" w:space="0"/>
            </w:tcBorders>
            <w:noWrap/>
            <w:vAlign w:val="center"/>
          </w:tcPr>
          <w:p w14:paraId="5F81915D">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115D95E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12195D61">
        <w:tblPrEx>
          <w:tblCellMar>
            <w:top w:w="0" w:type="dxa"/>
            <w:left w:w="108" w:type="dxa"/>
            <w:bottom w:w="0" w:type="dxa"/>
            <w:right w:w="108" w:type="dxa"/>
          </w:tblCellMar>
        </w:tblPrEx>
        <w:trPr>
          <w:trHeight w:val="554" w:hRule="atLeast"/>
        </w:trPr>
        <w:tc>
          <w:tcPr>
            <w:tcW w:w="343" w:type="pct"/>
            <w:vMerge w:val="continue"/>
            <w:tcBorders>
              <w:left w:val="single" w:color="auto" w:sz="4" w:space="0"/>
              <w:right w:val="single" w:color="auto" w:sz="4" w:space="0"/>
            </w:tcBorders>
            <w:noWrap/>
            <w:vAlign w:val="center"/>
          </w:tcPr>
          <w:p w14:paraId="25AED51A">
            <w:pPr>
              <w:jc w:val="center"/>
              <w:rPr>
                <w:rFonts w:hint="eastAsia" w:ascii="宋体" w:hAnsi="宋体" w:eastAsia="宋体" w:cs="宋体"/>
                <w:color w:val="auto"/>
                <w:sz w:val="22"/>
                <w:szCs w:val="22"/>
                <w:highlight w:val="none"/>
              </w:rPr>
            </w:pPr>
          </w:p>
        </w:tc>
        <w:tc>
          <w:tcPr>
            <w:tcW w:w="861" w:type="pct"/>
            <w:vMerge w:val="continue"/>
            <w:tcBorders>
              <w:left w:val="nil"/>
              <w:right w:val="single" w:color="auto" w:sz="4" w:space="0"/>
            </w:tcBorders>
            <w:noWrap/>
            <w:vAlign w:val="center"/>
          </w:tcPr>
          <w:p w14:paraId="0F180ADF">
            <w:pPr>
              <w:jc w:val="center"/>
              <w:rPr>
                <w:rFonts w:hint="eastAsia" w:ascii="宋体" w:hAnsi="宋体" w:eastAsia="宋体" w:cs="宋体"/>
                <w:color w:val="auto"/>
                <w:sz w:val="22"/>
                <w:szCs w:val="22"/>
                <w:highlight w:val="none"/>
              </w:rPr>
            </w:pPr>
          </w:p>
        </w:tc>
        <w:tc>
          <w:tcPr>
            <w:tcW w:w="306" w:type="pct"/>
            <w:vMerge w:val="continue"/>
            <w:tcBorders>
              <w:left w:val="nil"/>
              <w:right w:val="single" w:color="auto" w:sz="4" w:space="0"/>
            </w:tcBorders>
            <w:noWrap/>
            <w:vAlign w:val="center"/>
          </w:tcPr>
          <w:p w14:paraId="46E9D280">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2BB0A394">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良：米粒颜色无光泽的，得3分。</w:t>
            </w:r>
          </w:p>
        </w:tc>
        <w:tc>
          <w:tcPr>
            <w:tcW w:w="429" w:type="pct"/>
            <w:vMerge w:val="continue"/>
            <w:tcBorders>
              <w:left w:val="nil"/>
              <w:right w:val="single" w:color="auto" w:sz="4" w:space="0"/>
            </w:tcBorders>
            <w:noWrap/>
            <w:vAlign w:val="center"/>
          </w:tcPr>
          <w:p w14:paraId="0B8A4B7D">
            <w:pPr>
              <w:jc w:val="center"/>
              <w:rPr>
                <w:rFonts w:hint="eastAsia" w:ascii="宋体" w:hAnsi="宋体" w:eastAsia="宋体" w:cs="宋体"/>
                <w:color w:val="auto"/>
                <w:sz w:val="22"/>
                <w:szCs w:val="22"/>
                <w:highlight w:val="none"/>
              </w:rPr>
            </w:pPr>
          </w:p>
        </w:tc>
        <w:tc>
          <w:tcPr>
            <w:tcW w:w="437" w:type="pct"/>
            <w:vMerge w:val="continue"/>
            <w:tcBorders>
              <w:left w:val="nil"/>
              <w:right w:val="single" w:color="auto" w:sz="4" w:space="0"/>
            </w:tcBorders>
            <w:noWrap/>
            <w:vAlign w:val="center"/>
          </w:tcPr>
          <w:p w14:paraId="56332CB2">
            <w:pPr>
              <w:jc w:val="center"/>
              <w:rPr>
                <w:rFonts w:hint="eastAsia" w:ascii="宋体" w:hAnsi="宋体" w:eastAsia="宋体" w:cs="宋体"/>
                <w:color w:val="auto"/>
                <w:sz w:val="22"/>
                <w:szCs w:val="22"/>
                <w:highlight w:val="none"/>
              </w:rPr>
            </w:pPr>
          </w:p>
        </w:tc>
      </w:tr>
      <w:tr w14:paraId="0DB5180D">
        <w:tblPrEx>
          <w:tblCellMar>
            <w:top w:w="0" w:type="dxa"/>
            <w:left w:w="108" w:type="dxa"/>
            <w:bottom w:w="0" w:type="dxa"/>
            <w:right w:w="108" w:type="dxa"/>
          </w:tblCellMar>
        </w:tblPrEx>
        <w:trPr>
          <w:trHeight w:val="554" w:hRule="atLeast"/>
        </w:trPr>
        <w:tc>
          <w:tcPr>
            <w:tcW w:w="343" w:type="pct"/>
            <w:vMerge w:val="continue"/>
            <w:tcBorders>
              <w:left w:val="single" w:color="auto" w:sz="4" w:space="0"/>
              <w:bottom w:val="single" w:color="auto" w:sz="4" w:space="0"/>
              <w:right w:val="single" w:color="auto" w:sz="4" w:space="0"/>
            </w:tcBorders>
            <w:noWrap/>
            <w:vAlign w:val="center"/>
          </w:tcPr>
          <w:p w14:paraId="6CDB17D3">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586501E7">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6FF006C6">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09D5D53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差：部分颜色异常发黄，有虫害的得0分，并换货。</w:t>
            </w:r>
          </w:p>
        </w:tc>
        <w:tc>
          <w:tcPr>
            <w:tcW w:w="429" w:type="pct"/>
            <w:vMerge w:val="continue"/>
            <w:tcBorders>
              <w:left w:val="nil"/>
              <w:bottom w:val="single" w:color="auto" w:sz="4" w:space="0"/>
              <w:right w:val="single" w:color="auto" w:sz="4" w:space="0"/>
            </w:tcBorders>
            <w:noWrap/>
            <w:vAlign w:val="center"/>
          </w:tcPr>
          <w:p w14:paraId="4F977094">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703D2F68">
            <w:pPr>
              <w:jc w:val="center"/>
              <w:rPr>
                <w:rFonts w:hint="eastAsia" w:ascii="宋体" w:hAnsi="宋体" w:eastAsia="宋体" w:cs="宋体"/>
                <w:color w:val="auto"/>
                <w:sz w:val="22"/>
                <w:szCs w:val="22"/>
                <w:highlight w:val="none"/>
              </w:rPr>
            </w:pPr>
          </w:p>
        </w:tc>
      </w:tr>
      <w:tr w14:paraId="142AC286">
        <w:tblPrEx>
          <w:tblCellMar>
            <w:top w:w="0" w:type="dxa"/>
            <w:left w:w="108" w:type="dxa"/>
            <w:bottom w:w="0" w:type="dxa"/>
            <w:right w:w="108" w:type="dxa"/>
          </w:tblCellMar>
        </w:tblPrEx>
        <w:trPr>
          <w:trHeight w:val="1090" w:hRule="atLeast"/>
        </w:trPr>
        <w:tc>
          <w:tcPr>
            <w:tcW w:w="343" w:type="pct"/>
            <w:vMerge w:val="restart"/>
            <w:tcBorders>
              <w:top w:val="nil"/>
              <w:left w:val="single" w:color="auto" w:sz="4" w:space="0"/>
              <w:right w:val="single" w:color="auto" w:sz="4" w:space="0"/>
            </w:tcBorders>
            <w:noWrap/>
            <w:vAlign w:val="center"/>
          </w:tcPr>
          <w:p w14:paraId="3E33329F">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861" w:type="pct"/>
            <w:vMerge w:val="restart"/>
            <w:tcBorders>
              <w:top w:val="nil"/>
              <w:left w:val="nil"/>
              <w:right w:val="single" w:color="auto" w:sz="4" w:space="0"/>
            </w:tcBorders>
            <w:noWrap/>
            <w:vAlign w:val="center"/>
          </w:tcPr>
          <w:p w14:paraId="47AD0CE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食用油类</w:t>
            </w:r>
          </w:p>
        </w:tc>
        <w:tc>
          <w:tcPr>
            <w:tcW w:w="306" w:type="pct"/>
            <w:vMerge w:val="restart"/>
            <w:tcBorders>
              <w:top w:val="nil"/>
              <w:left w:val="nil"/>
              <w:right w:val="single" w:color="auto" w:sz="4" w:space="0"/>
            </w:tcBorders>
            <w:noWrap/>
            <w:vAlign w:val="center"/>
          </w:tcPr>
          <w:p w14:paraId="052A82F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3E9F997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优：色泽、透明度、气味、滋味、色泽正常，无焦臭、酸败及其它异味的得6分。</w:t>
            </w:r>
          </w:p>
        </w:tc>
        <w:tc>
          <w:tcPr>
            <w:tcW w:w="429" w:type="pct"/>
            <w:vMerge w:val="restart"/>
            <w:tcBorders>
              <w:top w:val="nil"/>
              <w:left w:val="nil"/>
              <w:right w:val="single" w:color="auto" w:sz="4" w:space="0"/>
            </w:tcBorders>
            <w:noWrap/>
            <w:vAlign w:val="center"/>
          </w:tcPr>
          <w:p w14:paraId="2D797E8E">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611E2E2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58939BFF">
        <w:tblPrEx>
          <w:tblCellMar>
            <w:top w:w="0" w:type="dxa"/>
            <w:left w:w="108" w:type="dxa"/>
            <w:bottom w:w="0" w:type="dxa"/>
            <w:right w:w="108" w:type="dxa"/>
          </w:tblCellMar>
        </w:tblPrEx>
        <w:trPr>
          <w:trHeight w:val="1090" w:hRule="atLeast"/>
        </w:trPr>
        <w:tc>
          <w:tcPr>
            <w:tcW w:w="343" w:type="pct"/>
            <w:vMerge w:val="continue"/>
            <w:tcBorders>
              <w:left w:val="single" w:color="auto" w:sz="4" w:space="0"/>
              <w:right w:val="single" w:color="auto" w:sz="4" w:space="0"/>
            </w:tcBorders>
            <w:noWrap/>
            <w:vAlign w:val="center"/>
          </w:tcPr>
          <w:p w14:paraId="0B0CEE59">
            <w:pPr>
              <w:jc w:val="center"/>
              <w:rPr>
                <w:rFonts w:hint="eastAsia" w:ascii="宋体" w:hAnsi="宋体" w:eastAsia="宋体" w:cs="宋体"/>
                <w:color w:val="auto"/>
                <w:sz w:val="22"/>
                <w:szCs w:val="22"/>
                <w:highlight w:val="none"/>
              </w:rPr>
            </w:pPr>
          </w:p>
        </w:tc>
        <w:tc>
          <w:tcPr>
            <w:tcW w:w="861" w:type="pct"/>
            <w:vMerge w:val="continue"/>
            <w:tcBorders>
              <w:left w:val="nil"/>
              <w:right w:val="single" w:color="auto" w:sz="4" w:space="0"/>
            </w:tcBorders>
            <w:noWrap/>
            <w:vAlign w:val="center"/>
          </w:tcPr>
          <w:p w14:paraId="7F213D25">
            <w:pPr>
              <w:jc w:val="center"/>
              <w:rPr>
                <w:rFonts w:hint="eastAsia" w:ascii="宋体" w:hAnsi="宋体" w:eastAsia="宋体" w:cs="宋体"/>
                <w:color w:val="auto"/>
                <w:sz w:val="22"/>
                <w:szCs w:val="22"/>
                <w:highlight w:val="none"/>
              </w:rPr>
            </w:pPr>
          </w:p>
        </w:tc>
        <w:tc>
          <w:tcPr>
            <w:tcW w:w="306" w:type="pct"/>
            <w:vMerge w:val="continue"/>
            <w:tcBorders>
              <w:left w:val="nil"/>
              <w:right w:val="single" w:color="auto" w:sz="4" w:space="0"/>
            </w:tcBorders>
            <w:noWrap/>
            <w:vAlign w:val="center"/>
          </w:tcPr>
          <w:p w14:paraId="51991F15">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5AD819C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良：色泽、透明度、气味和滋味正常、但色泽暗淡，透明度一般的，得3分。</w:t>
            </w:r>
          </w:p>
        </w:tc>
        <w:tc>
          <w:tcPr>
            <w:tcW w:w="429" w:type="pct"/>
            <w:vMerge w:val="continue"/>
            <w:tcBorders>
              <w:left w:val="nil"/>
              <w:right w:val="single" w:color="auto" w:sz="4" w:space="0"/>
            </w:tcBorders>
            <w:noWrap/>
            <w:vAlign w:val="center"/>
          </w:tcPr>
          <w:p w14:paraId="75AC5559">
            <w:pPr>
              <w:jc w:val="center"/>
              <w:rPr>
                <w:rFonts w:hint="eastAsia" w:ascii="宋体" w:hAnsi="宋体" w:eastAsia="宋体" w:cs="宋体"/>
                <w:color w:val="auto"/>
                <w:sz w:val="22"/>
                <w:szCs w:val="22"/>
                <w:highlight w:val="none"/>
              </w:rPr>
            </w:pPr>
          </w:p>
        </w:tc>
        <w:tc>
          <w:tcPr>
            <w:tcW w:w="437" w:type="pct"/>
            <w:vMerge w:val="continue"/>
            <w:tcBorders>
              <w:left w:val="nil"/>
              <w:right w:val="single" w:color="auto" w:sz="4" w:space="0"/>
            </w:tcBorders>
            <w:noWrap/>
            <w:vAlign w:val="center"/>
          </w:tcPr>
          <w:p w14:paraId="0912E089">
            <w:pPr>
              <w:jc w:val="center"/>
              <w:rPr>
                <w:rFonts w:hint="eastAsia" w:ascii="宋体" w:hAnsi="宋体" w:eastAsia="宋体" w:cs="宋体"/>
                <w:color w:val="auto"/>
                <w:sz w:val="22"/>
                <w:szCs w:val="22"/>
                <w:highlight w:val="none"/>
              </w:rPr>
            </w:pPr>
          </w:p>
        </w:tc>
      </w:tr>
      <w:tr w14:paraId="199A737D">
        <w:tblPrEx>
          <w:tblCellMar>
            <w:top w:w="0" w:type="dxa"/>
            <w:left w:w="108" w:type="dxa"/>
            <w:bottom w:w="0" w:type="dxa"/>
            <w:right w:w="108" w:type="dxa"/>
          </w:tblCellMar>
        </w:tblPrEx>
        <w:trPr>
          <w:trHeight w:val="1090" w:hRule="atLeast"/>
        </w:trPr>
        <w:tc>
          <w:tcPr>
            <w:tcW w:w="343" w:type="pct"/>
            <w:vMerge w:val="continue"/>
            <w:tcBorders>
              <w:left w:val="single" w:color="auto" w:sz="4" w:space="0"/>
              <w:bottom w:val="single" w:color="auto" w:sz="4" w:space="0"/>
              <w:right w:val="single" w:color="auto" w:sz="4" w:space="0"/>
            </w:tcBorders>
            <w:noWrap/>
            <w:vAlign w:val="center"/>
          </w:tcPr>
          <w:p w14:paraId="26DEEE35">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7BDCD6E6">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18F38106">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3EF14FB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差：气味和滋味异常，色泽和透明度差，得0分，并换货。</w:t>
            </w:r>
          </w:p>
        </w:tc>
        <w:tc>
          <w:tcPr>
            <w:tcW w:w="429" w:type="pct"/>
            <w:vMerge w:val="continue"/>
            <w:tcBorders>
              <w:left w:val="nil"/>
              <w:bottom w:val="single" w:color="auto" w:sz="4" w:space="0"/>
              <w:right w:val="single" w:color="auto" w:sz="4" w:space="0"/>
            </w:tcBorders>
            <w:noWrap/>
            <w:vAlign w:val="center"/>
          </w:tcPr>
          <w:p w14:paraId="71E672A4">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15263D3C">
            <w:pPr>
              <w:jc w:val="center"/>
              <w:rPr>
                <w:rFonts w:hint="eastAsia" w:ascii="宋体" w:hAnsi="宋体" w:eastAsia="宋体" w:cs="宋体"/>
                <w:color w:val="auto"/>
                <w:sz w:val="22"/>
                <w:szCs w:val="22"/>
                <w:highlight w:val="none"/>
              </w:rPr>
            </w:pPr>
          </w:p>
        </w:tc>
      </w:tr>
      <w:tr w14:paraId="3C7917EF">
        <w:tblPrEx>
          <w:tblCellMar>
            <w:top w:w="0" w:type="dxa"/>
            <w:left w:w="108" w:type="dxa"/>
            <w:bottom w:w="0" w:type="dxa"/>
            <w:right w:w="108" w:type="dxa"/>
          </w:tblCellMar>
        </w:tblPrEx>
        <w:trPr>
          <w:trHeight w:val="554" w:hRule="atLeast"/>
        </w:trPr>
        <w:tc>
          <w:tcPr>
            <w:tcW w:w="343" w:type="pct"/>
            <w:vMerge w:val="restart"/>
            <w:tcBorders>
              <w:top w:val="nil"/>
              <w:left w:val="single" w:color="auto" w:sz="4" w:space="0"/>
              <w:right w:val="single" w:color="auto" w:sz="4" w:space="0"/>
            </w:tcBorders>
            <w:noWrap/>
            <w:vAlign w:val="center"/>
          </w:tcPr>
          <w:p w14:paraId="70E13BC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861" w:type="pct"/>
            <w:vMerge w:val="restart"/>
            <w:tcBorders>
              <w:top w:val="nil"/>
              <w:left w:val="nil"/>
              <w:right w:val="single" w:color="auto" w:sz="4" w:space="0"/>
            </w:tcBorders>
            <w:noWrap/>
            <w:vAlign w:val="center"/>
          </w:tcPr>
          <w:p w14:paraId="43795DE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调味品类</w:t>
            </w:r>
          </w:p>
        </w:tc>
        <w:tc>
          <w:tcPr>
            <w:tcW w:w="306" w:type="pct"/>
            <w:vMerge w:val="restart"/>
            <w:tcBorders>
              <w:top w:val="nil"/>
              <w:left w:val="nil"/>
              <w:right w:val="single" w:color="auto" w:sz="4" w:space="0"/>
            </w:tcBorders>
            <w:noWrap/>
            <w:vAlign w:val="center"/>
          </w:tcPr>
          <w:p w14:paraId="1BE9001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5864E27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优：形态、色泽、气味和滋味正常的得6分。</w:t>
            </w:r>
          </w:p>
        </w:tc>
        <w:tc>
          <w:tcPr>
            <w:tcW w:w="429" w:type="pct"/>
            <w:vMerge w:val="restart"/>
            <w:tcBorders>
              <w:top w:val="nil"/>
              <w:left w:val="nil"/>
              <w:right w:val="single" w:color="auto" w:sz="4" w:space="0"/>
            </w:tcBorders>
            <w:noWrap/>
            <w:vAlign w:val="center"/>
          </w:tcPr>
          <w:p w14:paraId="28FF87EA">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1AB03C9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77377490">
        <w:tblPrEx>
          <w:tblCellMar>
            <w:top w:w="0" w:type="dxa"/>
            <w:left w:w="108" w:type="dxa"/>
            <w:bottom w:w="0" w:type="dxa"/>
            <w:right w:w="108" w:type="dxa"/>
          </w:tblCellMar>
        </w:tblPrEx>
        <w:trPr>
          <w:trHeight w:val="554" w:hRule="atLeast"/>
        </w:trPr>
        <w:tc>
          <w:tcPr>
            <w:tcW w:w="343" w:type="pct"/>
            <w:vMerge w:val="continue"/>
            <w:tcBorders>
              <w:left w:val="single" w:color="auto" w:sz="4" w:space="0"/>
              <w:right w:val="single" w:color="auto" w:sz="4" w:space="0"/>
            </w:tcBorders>
            <w:noWrap/>
            <w:vAlign w:val="center"/>
          </w:tcPr>
          <w:p w14:paraId="4E134E71">
            <w:pPr>
              <w:jc w:val="center"/>
              <w:rPr>
                <w:rFonts w:hint="eastAsia" w:ascii="宋体" w:hAnsi="宋体" w:eastAsia="宋体" w:cs="宋体"/>
                <w:color w:val="auto"/>
                <w:sz w:val="22"/>
                <w:szCs w:val="22"/>
                <w:highlight w:val="none"/>
              </w:rPr>
            </w:pPr>
          </w:p>
        </w:tc>
        <w:tc>
          <w:tcPr>
            <w:tcW w:w="861" w:type="pct"/>
            <w:vMerge w:val="continue"/>
            <w:tcBorders>
              <w:left w:val="nil"/>
              <w:right w:val="single" w:color="auto" w:sz="4" w:space="0"/>
            </w:tcBorders>
            <w:noWrap/>
            <w:vAlign w:val="center"/>
          </w:tcPr>
          <w:p w14:paraId="67EBCDD4">
            <w:pPr>
              <w:jc w:val="center"/>
              <w:rPr>
                <w:rFonts w:hint="eastAsia" w:ascii="宋体" w:hAnsi="宋体" w:eastAsia="宋体" w:cs="宋体"/>
                <w:color w:val="auto"/>
                <w:sz w:val="22"/>
                <w:szCs w:val="22"/>
                <w:highlight w:val="none"/>
              </w:rPr>
            </w:pPr>
          </w:p>
        </w:tc>
        <w:tc>
          <w:tcPr>
            <w:tcW w:w="306" w:type="pct"/>
            <w:vMerge w:val="continue"/>
            <w:tcBorders>
              <w:left w:val="nil"/>
              <w:right w:val="single" w:color="auto" w:sz="4" w:space="0"/>
            </w:tcBorders>
            <w:noWrap/>
            <w:vAlign w:val="center"/>
          </w:tcPr>
          <w:p w14:paraId="6EFED2C0">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1165BB9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良：形态、色泽、气味和滋味欠佳的得3分。</w:t>
            </w:r>
          </w:p>
        </w:tc>
        <w:tc>
          <w:tcPr>
            <w:tcW w:w="429" w:type="pct"/>
            <w:vMerge w:val="continue"/>
            <w:tcBorders>
              <w:left w:val="nil"/>
              <w:right w:val="single" w:color="auto" w:sz="4" w:space="0"/>
            </w:tcBorders>
            <w:noWrap/>
            <w:vAlign w:val="center"/>
          </w:tcPr>
          <w:p w14:paraId="3DB3B3DF">
            <w:pPr>
              <w:jc w:val="center"/>
              <w:rPr>
                <w:rFonts w:hint="eastAsia" w:ascii="宋体" w:hAnsi="宋体" w:eastAsia="宋体" w:cs="宋体"/>
                <w:color w:val="auto"/>
                <w:sz w:val="22"/>
                <w:szCs w:val="22"/>
                <w:highlight w:val="none"/>
              </w:rPr>
            </w:pPr>
          </w:p>
        </w:tc>
        <w:tc>
          <w:tcPr>
            <w:tcW w:w="437" w:type="pct"/>
            <w:vMerge w:val="continue"/>
            <w:tcBorders>
              <w:left w:val="nil"/>
              <w:right w:val="single" w:color="auto" w:sz="4" w:space="0"/>
            </w:tcBorders>
            <w:noWrap/>
            <w:vAlign w:val="center"/>
          </w:tcPr>
          <w:p w14:paraId="2764835F">
            <w:pPr>
              <w:jc w:val="center"/>
              <w:rPr>
                <w:rFonts w:hint="eastAsia" w:ascii="宋体" w:hAnsi="宋体" w:eastAsia="宋体" w:cs="宋体"/>
                <w:color w:val="auto"/>
                <w:sz w:val="22"/>
                <w:szCs w:val="22"/>
                <w:highlight w:val="none"/>
              </w:rPr>
            </w:pPr>
          </w:p>
        </w:tc>
      </w:tr>
      <w:tr w14:paraId="240B860E">
        <w:tblPrEx>
          <w:tblCellMar>
            <w:top w:w="0" w:type="dxa"/>
            <w:left w:w="108" w:type="dxa"/>
            <w:bottom w:w="0" w:type="dxa"/>
            <w:right w:w="108" w:type="dxa"/>
          </w:tblCellMar>
        </w:tblPrEx>
        <w:trPr>
          <w:trHeight w:val="554" w:hRule="atLeast"/>
        </w:trPr>
        <w:tc>
          <w:tcPr>
            <w:tcW w:w="343" w:type="pct"/>
            <w:vMerge w:val="continue"/>
            <w:tcBorders>
              <w:left w:val="single" w:color="auto" w:sz="4" w:space="0"/>
              <w:bottom w:val="single" w:color="auto" w:sz="4" w:space="0"/>
              <w:right w:val="single" w:color="auto" w:sz="4" w:space="0"/>
            </w:tcBorders>
            <w:noWrap/>
            <w:vAlign w:val="center"/>
          </w:tcPr>
          <w:p w14:paraId="39613231">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14BA9BE6">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2BDBF5C9">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4E1D32A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差：颜色发黑，有异味的得0分，并换货。</w:t>
            </w:r>
          </w:p>
        </w:tc>
        <w:tc>
          <w:tcPr>
            <w:tcW w:w="429" w:type="pct"/>
            <w:vMerge w:val="continue"/>
            <w:tcBorders>
              <w:left w:val="nil"/>
              <w:bottom w:val="single" w:color="auto" w:sz="4" w:space="0"/>
              <w:right w:val="single" w:color="auto" w:sz="4" w:space="0"/>
            </w:tcBorders>
            <w:noWrap/>
            <w:vAlign w:val="center"/>
          </w:tcPr>
          <w:p w14:paraId="728AB613">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3F07EC72">
            <w:pPr>
              <w:jc w:val="center"/>
              <w:rPr>
                <w:rFonts w:hint="eastAsia" w:ascii="宋体" w:hAnsi="宋体" w:eastAsia="宋体" w:cs="宋体"/>
                <w:color w:val="auto"/>
                <w:sz w:val="22"/>
                <w:szCs w:val="22"/>
                <w:highlight w:val="none"/>
              </w:rPr>
            </w:pPr>
          </w:p>
        </w:tc>
      </w:tr>
      <w:tr w14:paraId="1D7DBCBC">
        <w:tblPrEx>
          <w:tblCellMar>
            <w:top w:w="0" w:type="dxa"/>
            <w:left w:w="108" w:type="dxa"/>
            <w:bottom w:w="0" w:type="dxa"/>
            <w:right w:w="108" w:type="dxa"/>
          </w:tblCellMar>
        </w:tblPrEx>
        <w:trPr>
          <w:trHeight w:val="662" w:hRule="atLeast"/>
        </w:trPr>
        <w:tc>
          <w:tcPr>
            <w:tcW w:w="343" w:type="pct"/>
            <w:vMerge w:val="restart"/>
            <w:tcBorders>
              <w:top w:val="nil"/>
              <w:left w:val="single" w:color="auto" w:sz="4" w:space="0"/>
              <w:right w:val="single" w:color="auto" w:sz="4" w:space="0"/>
            </w:tcBorders>
            <w:noWrap/>
            <w:vAlign w:val="center"/>
          </w:tcPr>
          <w:p w14:paraId="6AD1C5B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861" w:type="pct"/>
            <w:vMerge w:val="restart"/>
            <w:tcBorders>
              <w:top w:val="nil"/>
              <w:left w:val="nil"/>
              <w:right w:val="single" w:color="auto" w:sz="4" w:space="0"/>
            </w:tcBorders>
            <w:noWrap/>
            <w:vAlign w:val="center"/>
          </w:tcPr>
          <w:p w14:paraId="0FE35D4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干货、杂货、副食类</w:t>
            </w:r>
          </w:p>
        </w:tc>
        <w:tc>
          <w:tcPr>
            <w:tcW w:w="306" w:type="pct"/>
            <w:vMerge w:val="restart"/>
            <w:tcBorders>
              <w:top w:val="nil"/>
              <w:left w:val="nil"/>
              <w:right w:val="single" w:color="auto" w:sz="4" w:space="0"/>
            </w:tcBorders>
            <w:noWrap/>
            <w:vAlign w:val="center"/>
          </w:tcPr>
          <w:p w14:paraId="27C0A20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1FDD14B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优：外观新鲜、完整，无霉变异味，无虫尸鼠粪等的得6分。</w:t>
            </w:r>
          </w:p>
        </w:tc>
        <w:tc>
          <w:tcPr>
            <w:tcW w:w="429" w:type="pct"/>
            <w:vMerge w:val="restart"/>
            <w:tcBorders>
              <w:top w:val="nil"/>
              <w:left w:val="nil"/>
              <w:right w:val="single" w:color="auto" w:sz="4" w:space="0"/>
            </w:tcBorders>
            <w:noWrap/>
            <w:vAlign w:val="center"/>
          </w:tcPr>
          <w:p w14:paraId="782F94E1">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602EFDF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18E648ED">
        <w:tblPrEx>
          <w:tblCellMar>
            <w:top w:w="0" w:type="dxa"/>
            <w:left w:w="108" w:type="dxa"/>
            <w:bottom w:w="0" w:type="dxa"/>
            <w:right w:w="108" w:type="dxa"/>
          </w:tblCellMar>
        </w:tblPrEx>
        <w:trPr>
          <w:trHeight w:val="617" w:hRule="atLeast"/>
        </w:trPr>
        <w:tc>
          <w:tcPr>
            <w:tcW w:w="343" w:type="pct"/>
            <w:vMerge w:val="continue"/>
            <w:tcBorders>
              <w:left w:val="single" w:color="auto" w:sz="4" w:space="0"/>
              <w:right w:val="single" w:color="auto" w:sz="4" w:space="0"/>
            </w:tcBorders>
            <w:noWrap/>
            <w:vAlign w:val="center"/>
          </w:tcPr>
          <w:p w14:paraId="7D0683CC">
            <w:pPr>
              <w:jc w:val="center"/>
              <w:rPr>
                <w:rFonts w:hint="eastAsia" w:ascii="宋体" w:hAnsi="宋体" w:eastAsia="宋体" w:cs="宋体"/>
                <w:color w:val="auto"/>
                <w:sz w:val="22"/>
                <w:szCs w:val="22"/>
                <w:highlight w:val="none"/>
              </w:rPr>
            </w:pPr>
          </w:p>
        </w:tc>
        <w:tc>
          <w:tcPr>
            <w:tcW w:w="861" w:type="pct"/>
            <w:vMerge w:val="continue"/>
            <w:tcBorders>
              <w:left w:val="nil"/>
              <w:right w:val="single" w:color="auto" w:sz="4" w:space="0"/>
            </w:tcBorders>
            <w:noWrap/>
            <w:vAlign w:val="center"/>
          </w:tcPr>
          <w:p w14:paraId="75E767ED">
            <w:pPr>
              <w:jc w:val="center"/>
              <w:rPr>
                <w:rFonts w:hint="eastAsia" w:ascii="宋体" w:hAnsi="宋体" w:eastAsia="宋体" w:cs="宋体"/>
                <w:color w:val="auto"/>
                <w:sz w:val="22"/>
                <w:szCs w:val="22"/>
                <w:highlight w:val="none"/>
              </w:rPr>
            </w:pPr>
          </w:p>
        </w:tc>
        <w:tc>
          <w:tcPr>
            <w:tcW w:w="306" w:type="pct"/>
            <w:vMerge w:val="continue"/>
            <w:tcBorders>
              <w:left w:val="nil"/>
              <w:right w:val="single" w:color="auto" w:sz="4" w:space="0"/>
            </w:tcBorders>
            <w:noWrap/>
            <w:vAlign w:val="center"/>
          </w:tcPr>
          <w:p w14:paraId="7533B5F3">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0880E60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良：产品外观不够新鲜，部分有杂质的，得3分。</w:t>
            </w:r>
          </w:p>
        </w:tc>
        <w:tc>
          <w:tcPr>
            <w:tcW w:w="429" w:type="pct"/>
            <w:vMerge w:val="continue"/>
            <w:tcBorders>
              <w:left w:val="nil"/>
              <w:right w:val="single" w:color="auto" w:sz="4" w:space="0"/>
            </w:tcBorders>
            <w:noWrap/>
            <w:vAlign w:val="center"/>
          </w:tcPr>
          <w:p w14:paraId="7BB64334">
            <w:pPr>
              <w:jc w:val="center"/>
              <w:rPr>
                <w:rFonts w:hint="eastAsia" w:ascii="宋体" w:hAnsi="宋体" w:eastAsia="宋体" w:cs="宋体"/>
                <w:color w:val="auto"/>
                <w:sz w:val="22"/>
                <w:szCs w:val="22"/>
                <w:highlight w:val="none"/>
              </w:rPr>
            </w:pPr>
          </w:p>
        </w:tc>
        <w:tc>
          <w:tcPr>
            <w:tcW w:w="437" w:type="pct"/>
            <w:vMerge w:val="continue"/>
            <w:tcBorders>
              <w:left w:val="nil"/>
              <w:right w:val="single" w:color="auto" w:sz="4" w:space="0"/>
            </w:tcBorders>
            <w:noWrap/>
            <w:vAlign w:val="center"/>
          </w:tcPr>
          <w:p w14:paraId="1F1A17CC">
            <w:pPr>
              <w:jc w:val="center"/>
              <w:rPr>
                <w:rFonts w:hint="eastAsia" w:ascii="宋体" w:hAnsi="宋体" w:eastAsia="宋体" w:cs="宋体"/>
                <w:color w:val="auto"/>
                <w:sz w:val="22"/>
                <w:szCs w:val="22"/>
                <w:highlight w:val="none"/>
              </w:rPr>
            </w:pPr>
          </w:p>
        </w:tc>
      </w:tr>
      <w:tr w14:paraId="6CC36402">
        <w:tblPrEx>
          <w:tblCellMar>
            <w:top w:w="0" w:type="dxa"/>
            <w:left w:w="108" w:type="dxa"/>
            <w:bottom w:w="0" w:type="dxa"/>
            <w:right w:w="108" w:type="dxa"/>
          </w:tblCellMar>
        </w:tblPrEx>
        <w:trPr>
          <w:trHeight w:val="682" w:hRule="atLeast"/>
        </w:trPr>
        <w:tc>
          <w:tcPr>
            <w:tcW w:w="343" w:type="pct"/>
            <w:vMerge w:val="continue"/>
            <w:tcBorders>
              <w:left w:val="single" w:color="auto" w:sz="4" w:space="0"/>
              <w:bottom w:val="single" w:color="auto" w:sz="4" w:space="0"/>
              <w:right w:val="single" w:color="auto" w:sz="4" w:space="0"/>
            </w:tcBorders>
            <w:noWrap/>
            <w:vAlign w:val="center"/>
          </w:tcPr>
          <w:p w14:paraId="5A974147">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0EE0CFD6">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217DF693">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5FAC0B7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差：外观破损不完整，有异味的得0分，并换货。</w:t>
            </w:r>
          </w:p>
        </w:tc>
        <w:tc>
          <w:tcPr>
            <w:tcW w:w="429" w:type="pct"/>
            <w:vMerge w:val="continue"/>
            <w:tcBorders>
              <w:left w:val="nil"/>
              <w:bottom w:val="single" w:color="auto" w:sz="4" w:space="0"/>
              <w:right w:val="single" w:color="auto" w:sz="4" w:space="0"/>
            </w:tcBorders>
            <w:noWrap/>
            <w:vAlign w:val="center"/>
          </w:tcPr>
          <w:p w14:paraId="3DE2F59A">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45F56914">
            <w:pPr>
              <w:jc w:val="center"/>
              <w:rPr>
                <w:rFonts w:hint="eastAsia" w:ascii="宋体" w:hAnsi="宋体" w:eastAsia="宋体" w:cs="宋体"/>
                <w:color w:val="auto"/>
                <w:sz w:val="22"/>
                <w:szCs w:val="22"/>
                <w:highlight w:val="none"/>
              </w:rPr>
            </w:pPr>
          </w:p>
        </w:tc>
      </w:tr>
      <w:tr w14:paraId="2C6128D6">
        <w:tblPrEx>
          <w:tblCellMar>
            <w:top w:w="0" w:type="dxa"/>
            <w:left w:w="108" w:type="dxa"/>
            <w:bottom w:w="0" w:type="dxa"/>
            <w:right w:w="108" w:type="dxa"/>
          </w:tblCellMar>
        </w:tblPrEx>
        <w:trPr>
          <w:trHeight w:val="554" w:hRule="atLeast"/>
        </w:trPr>
        <w:tc>
          <w:tcPr>
            <w:tcW w:w="343" w:type="pct"/>
            <w:vMerge w:val="restart"/>
            <w:tcBorders>
              <w:top w:val="nil"/>
              <w:left w:val="single" w:color="auto" w:sz="4" w:space="0"/>
              <w:right w:val="single" w:color="auto" w:sz="4" w:space="0"/>
            </w:tcBorders>
            <w:noWrap/>
            <w:vAlign w:val="center"/>
          </w:tcPr>
          <w:p w14:paraId="30E0D35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861" w:type="pct"/>
            <w:vMerge w:val="restart"/>
            <w:tcBorders>
              <w:top w:val="nil"/>
              <w:left w:val="nil"/>
              <w:right w:val="single" w:color="auto" w:sz="4" w:space="0"/>
            </w:tcBorders>
            <w:noWrap/>
            <w:vAlign w:val="center"/>
          </w:tcPr>
          <w:p w14:paraId="38F9FF8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米粉面粉类</w:t>
            </w:r>
          </w:p>
        </w:tc>
        <w:tc>
          <w:tcPr>
            <w:tcW w:w="306" w:type="pct"/>
            <w:vMerge w:val="restart"/>
            <w:tcBorders>
              <w:top w:val="nil"/>
              <w:left w:val="nil"/>
              <w:right w:val="single" w:color="auto" w:sz="4" w:space="0"/>
            </w:tcBorders>
            <w:noWrap/>
            <w:vAlign w:val="center"/>
          </w:tcPr>
          <w:p w14:paraId="427975D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0FC4821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优：粉质细腻干爽、透亮、无异物杂质的，得6分。</w:t>
            </w:r>
          </w:p>
        </w:tc>
        <w:tc>
          <w:tcPr>
            <w:tcW w:w="429" w:type="pct"/>
            <w:vMerge w:val="restart"/>
            <w:tcBorders>
              <w:top w:val="nil"/>
              <w:left w:val="nil"/>
              <w:right w:val="single" w:color="auto" w:sz="4" w:space="0"/>
            </w:tcBorders>
            <w:noWrap/>
            <w:vAlign w:val="center"/>
          </w:tcPr>
          <w:p w14:paraId="0DEE05B3">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79202A9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599ACBFA">
        <w:tblPrEx>
          <w:tblCellMar>
            <w:top w:w="0" w:type="dxa"/>
            <w:left w:w="108" w:type="dxa"/>
            <w:bottom w:w="0" w:type="dxa"/>
            <w:right w:w="108" w:type="dxa"/>
          </w:tblCellMar>
        </w:tblPrEx>
        <w:trPr>
          <w:trHeight w:val="554" w:hRule="atLeast"/>
        </w:trPr>
        <w:tc>
          <w:tcPr>
            <w:tcW w:w="343" w:type="pct"/>
            <w:vMerge w:val="continue"/>
            <w:tcBorders>
              <w:left w:val="single" w:color="auto" w:sz="4" w:space="0"/>
              <w:right w:val="single" w:color="auto" w:sz="4" w:space="0"/>
            </w:tcBorders>
            <w:noWrap/>
            <w:vAlign w:val="center"/>
          </w:tcPr>
          <w:p w14:paraId="648F42A2">
            <w:pPr>
              <w:jc w:val="center"/>
              <w:rPr>
                <w:rFonts w:hint="eastAsia" w:ascii="宋体" w:hAnsi="宋体" w:eastAsia="宋体" w:cs="宋体"/>
                <w:color w:val="auto"/>
                <w:sz w:val="22"/>
                <w:szCs w:val="22"/>
                <w:highlight w:val="none"/>
              </w:rPr>
            </w:pPr>
          </w:p>
        </w:tc>
        <w:tc>
          <w:tcPr>
            <w:tcW w:w="861" w:type="pct"/>
            <w:vMerge w:val="continue"/>
            <w:tcBorders>
              <w:left w:val="nil"/>
              <w:right w:val="single" w:color="auto" w:sz="4" w:space="0"/>
            </w:tcBorders>
            <w:noWrap/>
            <w:vAlign w:val="center"/>
          </w:tcPr>
          <w:p w14:paraId="16DE5EA7">
            <w:pPr>
              <w:jc w:val="center"/>
              <w:rPr>
                <w:rFonts w:hint="eastAsia" w:ascii="宋体" w:hAnsi="宋体" w:eastAsia="宋体" w:cs="宋体"/>
                <w:color w:val="auto"/>
                <w:sz w:val="22"/>
                <w:szCs w:val="22"/>
                <w:highlight w:val="none"/>
              </w:rPr>
            </w:pPr>
          </w:p>
        </w:tc>
        <w:tc>
          <w:tcPr>
            <w:tcW w:w="306" w:type="pct"/>
            <w:vMerge w:val="continue"/>
            <w:tcBorders>
              <w:left w:val="nil"/>
              <w:right w:val="single" w:color="auto" w:sz="4" w:space="0"/>
            </w:tcBorders>
            <w:noWrap/>
            <w:vAlign w:val="center"/>
          </w:tcPr>
          <w:p w14:paraId="1FB0895C">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52F03FF0">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良：粉质、颜色不一的，得3分。</w:t>
            </w:r>
          </w:p>
        </w:tc>
        <w:tc>
          <w:tcPr>
            <w:tcW w:w="429" w:type="pct"/>
            <w:vMerge w:val="continue"/>
            <w:tcBorders>
              <w:left w:val="nil"/>
              <w:right w:val="single" w:color="auto" w:sz="4" w:space="0"/>
            </w:tcBorders>
            <w:noWrap/>
            <w:vAlign w:val="center"/>
          </w:tcPr>
          <w:p w14:paraId="75AE9BDC">
            <w:pPr>
              <w:jc w:val="center"/>
              <w:rPr>
                <w:rFonts w:hint="eastAsia" w:ascii="宋体" w:hAnsi="宋体" w:eastAsia="宋体" w:cs="宋体"/>
                <w:color w:val="auto"/>
                <w:sz w:val="22"/>
                <w:szCs w:val="22"/>
                <w:highlight w:val="none"/>
              </w:rPr>
            </w:pPr>
          </w:p>
        </w:tc>
        <w:tc>
          <w:tcPr>
            <w:tcW w:w="437" w:type="pct"/>
            <w:vMerge w:val="continue"/>
            <w:tcBorders>
              <w:left w:val="nil"/>
              <w:right w:val="single" w:color="auto" w:sz="4" w:space="0"/>
            </w:tcBorders>
            <w:noWrap/>
            <w:vAlign w:val="center"/>
          </w:tcPr>
          <w:p w14:paraId="634C1BED">
            <w:pPr>
              <w:jc w:val="center"/>
              <w:rPr>
                <w:rFonts w:hint="eastAsia" w:ascii="宋体" w:hAnsi="宋体" w:eastAsia="宋体" w:cs="宋体"/>
                <w:color w:val="auto"/>
                <w:sz w:val="22"/>
                <w:szCs w:val="22"/>
                <w:highlight w:val="none"/>
              </w:rPr>
            </w:pPr>
          </w:p>
        </w:tc>
      </w:tr>
      <w:tr w14:paraId="52B98044">
        <w:tblPrEx>
          <w:tblCellMar>
            <w:top w:w="0" w:type="dxa"/>
            <w:left w:w="108" w:type="dxa"/>
            <w:bottom w:w="0" w:type="dxa"/>
            <w:right w:w="108" w:type="dxa"/>
          </w:tblCellMar>
        </w:tblPrEx>
        <w:trPr>
          <w:trHeight w:val="554" w:hRule="atLeast"/>
        </w:trPr>
        <w:tc>
          <w:tcPr>
            <w:tcW w:w="343" w:type="pct"/>
            <w:vMerge w:val="continue"/>
            <w:tcBorders>
              <w:left w:val="single" w:color="auto" w:sz="4" w:space="0"/>
              <w:bottom w:val="single" w:color="auto" w:sz="4" w:space="0"/>
              <w:right w:val="single" w:color="auto" w:sz="4" w:space="0"/>
            </w:tcBorders>
            <w:noWrap/>
            <w:vAlign w:val="center"/>
          </w:tcPr>
          <w:p w14:paraId="4BE1BDF2">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6A289C53">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09FDF16C">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06B4683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差：出现异味、霉变结块的得0分，并换货。</w:t>
            </w:r>
          </w:p>
        </w:tc>
        <w:tc>
          <w:tcPr>
            <w:tcW w:w="429" w:type="pct"/>
            <w:vMerge w:val="continue"/>
            <w:tcBorders>
              <w:left w:val="nil"/>
              <w:bottom w:val="single" w:color="auto" w:sz="4" w:space="0"/>
              <w:right w:val="single" w:color="auto" w:sz="4" w:space="0"/>
            </w:tcBorders>
            <w:noWrap/>
            <w:vAlign w:val="center"/>
          </w:tcPr>
          <w:p w14:paraId="6CF9A873">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2D61B2C0">
            <w:pPr>
              <w:jc w:val="center"/>
              <w:rPr>
                <w:rFonts w:hint="eastAsia" w:ascii="宋体" w:hAnsi="宋体" w:eastAsia="宋体" w:cs="宋体"/>
                <w:color w:val="auto"/>
                <w:sz w:val="22"/>
                <w:szCs w:val="22"/>
                <w:highlight w:val="none"/>
              </w:rPr>
            </w:pPr>
          </w:p>
        </w:tc>
      </w:tr>
      <w:tr w14:paraId="3A9813D2">
        <w:tblPrEx>
          <w:tblCellMar>
            <w:top w:w="0" w:type="dxa"/>
            <w:left w:w="108" w:type="dxa"/>
            <w:bottom w:w="0" w:type="dxa"/>
            <w:right w:w="108" w:type="dxa"/>
          </w:tblCellMar>
        </w:tblPrEx>
        <w:trPr>
          <w:trHeight w:val="871" w:hRule="atLeast"/>
        </w:trPr>
        <w:tc>
          <w:tcPr>
            <w:tcW w:w="343" w:type="pct"/>
            <w:vMerge w:val="restart"/>
            <w:tcBorders>
              <w:top w:val="single" w:color="auto" w:sz="4" w:space="0"/>
              <w:left w:val="single" w:color="auto" w:sz="4" w:space="0"/>
              <w:right w:val="single" w:color="auto" w:sz="4" w:space="0"/>
            </w:tcBorders>
            <w:noWrap/>
            <w:vAlign w:val="center"/>
          </w:tcPr>
          <w:p w14:paraId="7FAF870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861" w:type="pct"/>
            <w:vMerge w:val="restart"/>
            <w:tcBorders>
              <w:top w:val="single" w:color="auto" w:sz="4" w:space="0"/>
              <w:left w:val="single" w:color="auto" w:sz="4" w:space="0"/>
              <w:right w:val="single" w:color="auto" w:sz="4" w:space="0"/>
            </w:tcBorders>
            <w:noWrap/>
            <w:vAlign w:val="center"/>
          </w:tcPr>
          <w:p w14:paraId="6DAA02B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肉类</w:t>
            </w:r>
          </w:p>
        </w:tc>
        <w:tc>
          <w:tcPr>
            <w:tcW w:w="306" w:type="pct"/>
            <w:vMerge w:val="restart"/>
            <w:tcBorders>
              <w:top w:val="single" w:color="auto" w:sz="4" w:space="0"/>
              <w:left w:val="single" w:color="auto" w:sz="4" w:space="0"/>
              <w:right w:val="single" w:color="auto" w:sz="4" w:space="0"/>
            </w:tcBorders>
            <w:noWrap/>
            <w:vAlign w:val="center"/>
          </w:tcPr>
          <w:p w14:paraId="3EF7D5CC">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shd w:val="clear" w:color="auto" w:fill="auto"/>
                <w:lang w:val="en-US" w:eastAsia="zh-CN"/>
              </w:rPr>
              <w:t>10</w:t>
            </w:r>
          </w:p>
        </w:tc>
        <w:tc>
          <w:tcPr>
            <w:tcW w:w="2621" w:type="pct"/>
            <w:gridSpan w:val="2"/>
            <w:tcBorders>
              <w:top w:val="single" w:color="auto" w:sz="4" w:space="0"/>
              <w:left w:val="single" w:color="auto" w:sz="4" w:space="0"/>
              <w:bottom w:val="single" w:color="auto" w:sz="4" w:space="0"/>
              <w:right w:val="single" w:color="auto" w:sz="4" w:space="0"/>
            </w:tcBorders>
            <w:noWrap w:val="0"/>
            <w:vAlign w:val="center"/>
          </w:tcPr>
          <w:p w14:paraId="278ED487">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优：无异味、无霉烂，肉色鲜美的得</w:t>
            </w:r>
            <w:r>
              <w:rPr>
                <w:rFonts w:hint="eastAsia" w:ascii="宋体" w:hAnsi="宋体" w:eastAsia="宋体" w:cs="宋体"/>
                <w:color w:val="auto"/>
                <w:sz w:val="22"/>
                <w:szCs w:val="22"/>
                <w:highlight w:val="none"/>
                <w:shd w:val="clear" w:color="auto" w:fill="auto"/>
                <w:lang w:val="en-US" w:eastAsia="zh-CN"/>
              </w:rPr>
              <w:t>10</w:t>
            </w:r>
            <w:r>
              <w:rPr>
                <w:rFonts w:hint="eastAsia" w:ascii="宋体" w:hAnsi="宋体" w:eastAsia="宋体" w:cs="宋体"/>
                <w:color w:val="auto"/>
                <w:sz w:val="22"/>
                <w:szCs w:val="22"/>
                <w:highlight w:val="none"/>
              </w:rPr>
              <w:t>分。</w:t>
            </w:r>
          </w:p>
        </w:tc>
        <w:tc>
          <w:tcPr>
            <w:tcW w:w="429" w:type="pct"/>
            <w:vMerge w:val="restart"/>
            <w:tcBorders>
              <w:top w:val="single" w:color="auto" w:sz="4" w:space="0"/>
              <w:left w:val="single" w:color="auto" w:sz="4" w:space="0"/>
              <w:right w:val="single" w:color="auto" w:sz="4" w:space="0"/>
            </w:tcBorders>
            <w:noWrap/>
            <w:vAlign w:val="center"/>
          </w:tcPr>
          <w:p w14:paraId="2CF1C19B">
            <w:pPr>
              <w:jc w:val="center"/>
              <w:rPr>
                <w:rFonts w:hint="eastAsia" w:ascii="宋体" w:hAnsi="宋体" w:eastAsia="宋体" w:cs="宋体"/>
                <w:color w:val="auto"/>
                <w:sz w:val="22"/>
                <w:szCs w:val="22"/>
                <w:highlight w:val="none"/>
              </w:rPr>
            </w:pPr>
          </w:p>
        </w:tc>
        <w:tc>
          <w:tcPr>
            <w:tcW w:w="437" w:type="pct"/>
            <w:vMerge w:val="restart"/>
            <w:tcBorders>
              <w:top w:val="single" w:color="auto" w:sz="4" w:space="0"/>
              <w:left w:val="single" w:color="auto" w:sz="4" w:space="0"/>
              <w:right w:val="single" w:color="auto" w:sz="4" w:space="0"/>
            </w:tcBorders>
            <w:noWrap/>
            <w:vAlign w:val="center"/>
          </w:tcPr>
          <w:p w14:paraId="0711556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53257325">
        <w:tblPrEx>
          <w:tblCellMar>
            <w:top w:w="0" w:type="dxa"/>
            <w:left w:w="108" w:type="dxa"/>
            <w:bottom w:w="0" w:type="dxa"/>
            <w:right w:w="108" w:type="dxa"/>
          </w:tblCellMar>
        </w:tblPrEx>
        <w:trPr>
          <w:trHeight w:val="871" w:hRule="atLeast"/>
        </w:trPr>
        <w:tc>
          <w:tcPr>
            <w:tcW w:w="343" w:type="pct"/>
            <w:vMerge w:val="continue"/>
            <w:tcBorders>
              <w:top w:val="single" w:color="auto" w:sz="4" w:space="0"/>
              <w:left w:val="single" w:color="auto" w:sz="4" w:space="0"/>
              <w:right w:val="single" w:color="auto" w:sz="4" w:space="0"/>
            </w:tcBorders>
            <w:noWrap/>
            <w:vAlign w:val="center"/>
          </w:tcPr>
          <w:p w14:paraId="3577EC1B">
            <w:pPr>
              <w:jc w:val="center"/>
              <w:rPr>
                <w:rFonts w:hint="eastAsia" w:ascii="宋体" w:hAnsi="宋体" w:eastAsia="宋体" w:cs="宋体"/>
                <w:color w:val="auto"/>
                <w:sz w:val="22"/>
                <w:szCs w:val="22"/>
                <w:highlight w:val="none"/>
              </w:rPr>
            </w:pPr>
          </w:p>
        </w:tc>
        <w:tc>
          <w:tcPr>
            <w:tcW w:w="861" w:type="pct"/>
            <w:vMerge w:val="continue"/>
            <w:tcBorders>
              <w:top w:val="single" w:color="auto" w:sz="4" w:space="0"/>
              <w:left w:val="single" w:color="auto" w:sz="4" w:space="0"/>
              <w:right w:val="single" w:color="auto" w:sz="4" w:space="0"/>
            </w:tcBorders>
            <w:noWrap/>
            <w:vAlign w:val="center"/>
          </w:tcPr>
          <w:p w14:paraId="306BB9D4">
            <w:pPr>
              <w:jc w:val="center"/>
              <w:rPr>
                <w:rFonts w:hint="eastAsia" w:ascii="宋体" w:hAnsi="宋体" w:eastAsia="宋体" w:cs="宋体"/>
                <w:color w:val="auto"/>
                <w:sz w:val="22"/>
                <w:szCs w:val="22"/>
                <w:highlight w:val="none"/>
              </w:rPr>
            </w:pPr>
          </w:p>
        </w:tc>
        <w:tc>
          <w:tcPr>
            <w:tcW w:w="306" w:type="pct"/>
            <w:vMerge w:val="continue"/>
            <w:tcBorders>
              <w:top w:val="single" w:color="auto" w:sz="4" w:space="0"/>
              <w:left w:val="single" w:color="auto" w:sz="4" w:space="0"/>
              <w:right w:val="single" w:color="auto" w:sz="4" w:space="0"/>
            </w:tcBorders>
            <w:noWrap/>
            <w:vAlign w:val="center"/>
          </w:tcPr>
          <w:p w14:paraId="3B0BDB1A">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single" w:color="auto" w:sz="4" w:space="0"/>
              <w:bottom w:val="single" w:color="auto" w:sz="4" w:space="0"/>
              <w:right w:val="single" w:color="auto" w:sz="4" w:space="0"/>
            </w:tcBorders>
            <w:noWrap w:val="0"/>
            <w:vAlign w:val="center"/>
          </w:tcPr>
          <w:p w14:paraId="1381C8D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良：肉色欠佳</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shd w:val="clear" w:color="auto" w:fill="auto"/>
                <w:lang w:val="en-US" w:eastAsia="zh-CN"/>
              </w:rPr>
              <w:t>有异味</w:t>
            </w:r>
            <w:r>
              <w:rPr>
                <w:rFonts w:hint="eastAsia" w:ascii="宋体" w:hAnsi="宋体" w:eastAsia="宋体" w:cs="宋体"/>
                <w:color w:val="auto"/>
                <w:sz w:val="22"/>
                <w:szCs w:val="22"/>
                <w:highlight w:val="none"/>
                <w:shd w:val="clear" w:color="auto" w:fill="auto"/>
              </w:rPr>
              <w:t>的</w:t>
            </w:r>
            <w:r>
              <w:rPr>
                <w:rFonts w:hint="eastAsia" w:ascii="宋体" w:hAnsi="宋体" w:eastAsia="宋体" w:cs="宋体"/>
                <w:color w:val="auto"/>
                <w:sz w:val="22"/>
                <w:szCs w:val="22"/>
                <w:highlight w:val="none"/>
              </w:rPr>
              <w:t>得</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w:t>
            </w:r>
          </w:p>
        </w:tc>
        <w:tc>
          <w:tcPr>
            <w:tcW w:w="429" w:type="pct"/>
            <w:vMerge w:val="continue"/>
            <w:tcBorders>
              <w:top w:val="single" w:color="auto" w:sz="4" w:space="0"/>
              <w:left w:val="single" w:color="auto" w:sz="4" w:space="0"/>
              <w:right w:val="single" w:color="auto" w:sz="4" w:space="0"/>
            </w:tcBorders>
            <w:noWrap/>
            <w:vAlign w:val="center"/>
          </w:tcPr>
          <w:p w14:paraId="2250850E">
            <w:pPr>
              <w:jc w:val="center"/>
              <w:rPr>
                <w:rFonts w:hint="eastAsia" w:ascii="宋体" w:hAnsi="宋体" w:eastAsia="宋体" w:cs="宋体"/>
                <w:color w:val="auto"/>
                <w:sz w:val="22"/>
                <w:szCs w:val="22"/>
                <w:highlight w:val="none"/>
              </w:rPr>
            </w:pPr>
          </w:p>
        </w:tc>
        <w:tc>
          <w:tcPr>
            <w:tcW w:w="437" w:type="pct"/>
            <w:vMerge w:val="continue"/>
            <w:tcBorders>
              <w:top w:val="single" w:color="auto" w:sz="4" w:space="0"/>
              <w:left w:val="single" w:color="auto" w:sz="4" w:space="0"/>
              <w:right w:val="single" w:color="auto" w:sz="4" w:space="0"/>
            </w:tcBorders>
            <w:noWrap/>
            <w:vAlign w:val="center"/>
          </w:tcPr>
          <w:p w14:paraId="62B6144E">
            <w:pPr>
              <w:jc w:val="center"/>
              <w:rPr>
                <w:rFonts w:hint="eastAsia" w:ascii="宋体" w:hAnsi="宋体" w:eastAsia="宋体" w:cs="宋体"/>
                <w:color w:val="auto"/>
                <w:sz w:val="22"/>
                <w:szCs w:val="22"/>
                <w:highlight w:val="none"/>
              </w:rPr>
            </w:pPr>
          </w:p>
        </w:tc>
      </w:tr>
      <w:tr w14:paraId="6F821B55">
        <w:tblPrEx>
          <w:tblCellMar>
            <w:top w:w="0" w:type="dxa"/>
            <w:left w:w="108" w:type="dxa"/>
            <w:bottom w:w="0" w:type="dxa"/>
            <w:right w:w="108" w:type="dxa"/>
          </w:tblCellMar>
        </w:tblPrEx>
        <w:trPr>
          <w:trHeight w:val="871" w:hRule="atLeast"/>
        </w:trPr>
        <w:tc>
          <w:tcPr>
            <w:tcW w:w="343" w:type="pct"/>
            <w:vMerge w:val="continue"/>
            <w:tcBorders>
              <w:left w:val="single" w:color="auto" w:sz="4" w:space="0"/>
              <w:bottom w:val="single" w:color="auto" w:sz="4" w:space="0"/>
              <w:right w:val="single" w:color="auto" w:sz="4" w:space="0"/>
            </w:tcBorders>
            <w:noWrap/>
            <w:vAlign w:val="center"/>
          </w:tcPr>
          <w:p w14:paraId="2B88A7C5">
            <w:pPr>
              <w:jc w:val="center"/>
              <w:rPr>
                <w:rFonts w:hint="eastAsia" w:ascii="宋体" w:hAnsi="宋体" w:eastAsia="宋体" w:cs="宋体"/>
                <w:color w:val="auto"/>
                <w:sz w:val="22"/>
                <w:szCs w:val="22"/>
                <w:highlight w:val="none"/>
              </w:rPr>
            </w:pPr>
          </w:p>
        </w:tc>
        <w:tc>
          <w:tcPr>
            <w:tcW w:w="861" w:type="pct"/>
            <w:vMerge w:val="continue"/>
            <w:tcBorders>
              <w:left w:val="single" w:color="auto" w:sz="4" w:space="0"/>
              <w:bottom w:val="single" w:color="auto" w:sz="4" w:space="0"/>
              <w:right w:val="single" w:color="auto" w:sz="4" w:space="0"/>
            </w:tcBorders>
            <w:noWrap/>
            <w:vAlign w:val="center"/>
          </w:tcPr>
          <w:p w14:paraId="420F7BE2">
            <w:pPr>
              <w:jc w:val="center"/>
              <w:rPr>
                <w:rFonts w:hint="eastAsia" w:ascii="宋体" w:hAnsi="宋体" w:eastAsia="宋体" w:cs="宋体"/>
                <w:color w:val="auto"/>
                <w:sz w:val="22"/>
                <w:szCs w:val="22"/>
                <w:highlight w:val="none"/>
              </w:rPr>
            </w:pPr>
          </w:p>
        </w:tc>
        <w:tc>
          <w:tcPr>
            <w:tcW w:w="306" w:type="pct"/>
            <w:vMerge w:val="continue"/>
            <w:tcBorders>
              <w:left w:val="single" w:color="auto" w:sz="4" w:space="0"/>
              <w:bottom w:val="single" w:color="auto" w:sz="4" w:space="0"/>
              <w:right w:val="single" w:color="auto" w:sz="4" w:space="0"/>
            </w:tcBorders>
            <w:noWrap/>
            <w:vAlign w:val="center"/>
          </w:tcPr>
          <w:p w14:paraId="17B7FD61">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single" w:color="auto" w:sz="4" w:space="0"/>
              <w:bottom w:val="single" w:color="auto" w:sz="4" w:space="0"/>
              <w:right w:val="single" w:color="auto" w:sz="4" w:space="0"/>
            </w:tcBorders>
            <w:noWrap w:val="0"/>
            <w:vAlign w:val="center"/>
          </w:tcPr>
          <w:p w14:paraId="41415D31">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w:t>
            </w:r>
            <w:r>
              <w:rPr>
                <w:rFonts w:hint="eastAsia" w:ascii="宋体" w:hAnsi="宋体" w:eastAsia="宋体" w:cs="宋体"/>
                <w:color w:val="auto"/>
                <w:sz w:val="22"/>
                <w:szCs w:val="22"/>
                <w:highlight w:val="none"/>
                <w:shd w:val="clear" w:color="auto" w:fill="auto"/>
                <w:lang w:val="en-US" w:eastAsia="zh-CN"/>
              </w:rPr>
              <w:t>不是鲜肉、</w:t>
            </w:r>
            <w:r>
              <w:rPr>
                <w:rFonts w:hint="eastAsia" w:ascii="宋体" w:hAnsi="宋体" w:eastAsia="宋体" w:cs="宋体"/>
                <w:color w:val="auto"/>
                <w:sz w:val="22"/>
                <w:szCs w:val="22"/>
                <w:highlight w:val="none"/>
              </w:rPr>
              <w:t>肉色暗淡</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shd w:val="clear" w:color="auto" w:fill="auto"/>
                <w:lang w:val="en-US" w:eastAsia="zh-CN"/>
              </w:rPr>
              <w:t>有异味</w:t>
            </w:r>
            <w:r>
              <w:rPr>
                <w:rFonts w:hint="eastAsia" w:ascii="宋体" w:hAnsi="宋体" w:eastAsia="宋体" w:cs="宋体"/>
                <w:color w:val="auto"/>
                <w:sz w:val="22"/>
                <w:szCs w:val="22"/>
                <w:highlight w:val="none"/>
                <w:shd w:val="clear" w:color="auto" w:fill="auto"/>
              </w:rPr>
              <w:t>的</w:t>
            </w:r>
            <w:r>
              <w:rPr>
                <w:rFonts w:hint="eastAsia" w:ascii="宋体" w:hAnsi="宋体" w:eastAsia="宋体" w:cs="宋体"/>
                <w:color w:val="auto"/>
                <w:sz w:val="22"/>
                <w:szCs w:val="22"/>
                <w:highlight w:val="none"/>
              </w:rPr>
              <w:t>得0分，并换货。</w:t>
            </w:r>
          </w:p>
        </w:tc>
        <w:tc>
          <w:tcPr>
            <w:tcW w:w="429" w:type="pct"/>
            <w:vMerge w:val="continue"/>
            <w:tcBorders>
              <w:left w:val="single" w:color="auto" w:sz="4" w:space="0"/>
              <w:bottom w:val="single" w:color="auto" w:sz="4" w:space="0"/>
              <w:right w:val="single" w:color="auto" w:sz="4" w:space="0"/>
            </w:tcBorders>
            <w:noWrap/>
            <w:vAlign w:val="center"/>
          </w:tcPr>
          <w:p w14:paraId="44B83DDD">
            <w:pPr>
              <w:jc w:val="center"/>
              <w:rPr>
                <w:rFonts w:hint="eastAsia" w:ascii="宋体" w:hAnsi="宋体" w:eastAsia="宋体" w:cs="宋体"/>
                <w:color w:val="auto"/>
                <w:sz w:val="22"/>
                <w:szCs w:val="22"/>
                <w:highlight w:val="none"/>
              </w:rPr>
            </w:pPr>
          </w:p>
        </w:tc>
        <w:tc>
          <w:tcPr>
            <w:tcW w:w="437" w:type="pct"/>
            <w:vMerge w:val="continue"/>
            <w:tcBorders>
              <w:left w:val="single" w:color="auto" w:sz="4" w:space="0"/>
              <w:bottom w:val="single" w:color="auto" w:sz="4" w:space="0"/>
              <w:right w:val="single" w:color="auto" w:sz="4" w:space="0"/>
            </w:tcBorders>
            <w:noWrap/>
            <w:vAlign w:val="center"/>
          </w:tcPr>
          <w:p w14:paraId="0BA58A60">
            <w:pPr>
              <w:jc w:val="center"/>
              <w:rPr>
                <w:rFonts w:hint="eastAsia" w:ascii="宋体" w:hAnsi="宋体" w:eastAsia="宋体" w:cs="宋体"/>
                <w:color w:val="auto"/>
                <w:sz w:val="22"/>
                <w:szCs w:val="22"/>
                <w:highlight w:val="none"/>
              </w:rPr>
            </w:pPr>
          </w:p>
        </w:tc>
      </w:tr>
      <w:tr w14:paraId="7C1B5A02">
        <w:tblPrEx>
          <w:tblCellMar>
            <w:top w:w="0" w:type="dxa"/>
            <w:left w:w="108" w:type="dxa"/>
            <w:bottom w:w="0" w:type="dxa"/>
            <w:right w:w="108" w:type="dxa"/>
          </w:tblCellMar>
        </w:tblPrEx>
        <w:trPr>
          <w:trHeight w:val="899" w:hRule="atLeast"/>
        </w:trPr>
        <w:tc>
          <w:tcPr>
            <w:tcW w:w="343" w:type="pct"/>
            <w:vMerge w:val="restart"/>
            <w:tcBorders>
              <w:top w:val="nil"/>
              <w:left w:val="single" w:color="auto" w:sz="4" w:space="0"/>
              <w:right w:val="single" w:color="auto" w:sz="4" w:space="0"/>
            </w:tcBorders>
            <w:noWrap/>
            <w:vAlign w:val="center"/>
          </w:tcPr>
          <w:p w14:paraId="72D6DF0D">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7</w:t>
            </w:r>
          </w:p>
        </w:tc>
        <w:tc>
          <w:tcPr>
            <w:tcW w:w="861" w:type="pct"/>
            <w:vMerge w:val="restart"/>
            <w:tcBorders>
              <w:top w:val="nil"/>
              <w:left w:val="nil"/>
              <w:right w:val="single" w:color="auto" w:sz="4" w:space="0"/>
            </w:tcBorders>
            <w:noWrap w:val="0"/>
            <w:vAlign w:val="center"/>
          </w:tcPr>
          <w:p w14:paraId="3748C2A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三鸟类</w:t>
            </w:r>
          </w:p>
          <w:p w14:paraId="11E6EBC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(屠杀好的）</w:t>
            </w:r>
          </w:p>
        </w:tc>
        <w:tc>
          <w:tcPr>
            <w:tcW w:w="306" w:type="pct"/>
            <w:vMerge w:val="restart"/>
            <w:tcBorders>
              <w:top w:val="nil"/>
              <w:left w:val="nil"/>
              <w:right w:val="single" w:color="auto" w:sz="4" w:space="0"/>
            </w:tcBorders>
            <w:noWrap/>
            <w:vAlign w:val="center"/>
          </w:tcPr>
          <w:p w14:paraId="55BBB2A4">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shd w:val="clear" w:color="auto" w:fill="auto"/>
                <w:lang w:val="en-US" w:eastAsia="zh-CN"/>
              </w:rPr>
              <w:t>8</w:t>
            </w:r>
          </w:p>
        </w:tc>
        <w:tc>
          <w:tcPr>
            <w:tcW w:w="2621" w:type="pct"/>
            <w:gridSpan w:val="2"/>
            <w:tcBorders>
              <w:top w:val="nil"/>
              <w:left w:val="nil"/>
              <w:bottom w:val="single" w:color="auto" w:sz="4" w:space="0"/>
              <w:right w:val="single" w:color="auto" w:sz="4" w:space="0"/>
            </w:tcBorders>
            <w:noWrap w:val="0"/>
            <w:vAlign w:val="center"/>
          </w:tcPr>
          <w:p w14:paraId="4E9ECA9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优：色泽正常、肉质结实、内脏清掏干净的得6分。</w:t>
            </w:r>
          </w:p>
        </w:tc>
        <w:tc>
          <w:tcPr>
            <w:tcW w:w="429" w:type="pct"/>
            <w:vMerge w:val="restart"/>
            <w:tcBorders>
              <w:top w:val="nil"/>
              <w:left w:val="nil"/>
              <w:right w:val="single" w:color="auto" w:sz="4" w:space="0"/>
            </w:tcBorders>
            <w:noWrap/>
            <w:vAlign w:val="center"/>
          </w:tcPr>
          <w:p w14:paraId="0827CD98">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72FA0010">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4D0056B6">
        <w:tblPrEx>
          <w:tblCellMar>
            <w:top w:w="0" w:type="dxa"/>
            <w:left w:w="108" w:type="dxa"/>
            <w:bottom w:w="0" w:type="dxa"/>
            <w:right w:w="108" w:type="dxa"/>
          </w:tblCellMar>
        </w:tblPrEx>
        <w:trPr>
          <w:trHeight w:val="899" w:hRule="atLeast"/>
        </w:trPr>
        <w:tc>
          <w:tcPr>
            <w:tcW w:w="343" w:type="pct"/>
            <w:vMerge w:val="continue"/>
            <w:tcBorders>
              <w:top w:val="nil"/>
              <w:left w:val="single" w:color="auto" w:sz="4" w:space="0"/>
              <w:right w:val="single" w:color="auto" w:sz="4" w:space="0"/>
            </w:tcBorders>
            <w:noWrap/>
            <w:vAlign w:val="center"/>
          </w:tcPr>
          <w:p w14:paraId="6DDD2AFF">
            <w:pPr>
              <w:jc w:val="center"/>
              <w:rPr>
                <w:rFonts w:hint="eastAsia" w:ascii="宋体" w:hAnsi="宋体" w:eastAsia="宋体" w:cs="宋体"/>
                <w:color w:val="auto"/>
                <w:sz w:val="22"/>
                <w:szCs w:val="22"/>
                <w:highlight w:val="none"/>
              </w:rPr>
            </w:pPr>
          </w:p>
        </w:tc>
        <w:tc>
          <w:tcPr>
            <w:tcW w:w="861" w:type="pct"/>
            <w:vMerge w:val="continue"/>
            <w:tcBorders>
              <w:top w:val="nil"/>
              <w:left w:val="nil"/>
              <w:right w:val="single" w:color="auto" w:sz="4" w:space="0"/>
            </w:tcBorders>
            <w:noWrap w:val="0"/>
            <w:vAlign w:val="center"/>
          </w:tcPr>
          <w:p w14:paraId="043CEACE">
            <w:pPr>
              <w:jc w:val="center"/>
              <w:rPr>
                <w:rFonts w:hint="eastAsia" w:ascii="宋体" w:hAnsi="宋体" w:eastAsia="宋体" w:cs="宋体"/>
                <w:color w:val="auto"/>
                <w:sz w:val="22"/>
                <w:szCs w:val="22"/>
                <w:highlight w:val="none"/>
              </w:rPr>
            </w:pPr>
          </w:p>
        </w:tc>
        <w:tc>
          <w:tcPr>
            <w:tcW w:w="306" w:type="pct"/>
            <w:vMerge w:val="continue"/>
            <w:tcBorders>
              <w:top w:val="nil"/>
              <w:left w:val="nil"/>
              <w:right w:val="single" w:color="auto" w:sz="4" w:space="0"/>
            </w:tcBorders>
            <w:noWrap/>
            <w:vAlign w:val="center"/>
          </w:tcPr>
          <w:p w14:paraId="4A5AABF3">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0C11FE09">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良：色泽暗淡或肉质松垮或有极少量内脏残留的得3分。 </w:t>
            </w:r>
          </w:p>
        </w:tc>
        <w:tc>
          <w:tcPr>
            <w:tcW w:w="429" w:type="pct"/>
            <w:vMerge w:val="continue"/>
            <w:tcBorders>
              <w:top w:val="nil"/>
              <w:left w:val="nil"/>
              <w:right w:val="single" w:color="auto" w:sz="4" w:space="0"/>
            </w:tcBorders>
            <w:noWrap/>
            <w:vAlign w:val="center"/>
          </w:tcPr>
          <w:p w14:paraId="68C645D8">
            <w:pPr>
              <w:jc w:val="center"/>
              <w:rPr>
                <w:rFonts w:hint="eastAsia" w:ascii="宋体" w:hAnsi="宋体" w:eastAsia="宋体" w:cs="宋体"/>
                <w:color w:val="auto"/>
                <w:sz w:val="22"/>
                <w:szCs w:val="22"/>
                <w:highlight w:val="none"/>
              </w:rPr>
            </w:pPr>
          </w:p>
        </w:tc>
        <w:tc>
          <w:tcPr>
            <w:tcW w:w="437" w:type="pct"/>
            <w:vMerge w:val="continue"/>
            <w:tcBorders>
              <w:top w:val="nil"/>
              <w:left w:val="nil"/>
              <w:right w:val="single" w:color="auto" w:sz="4" w:space="0"/>
            </w:tcBorders>
            <w:noWrap/>
            <w:vAlign w:val="center"/>
          </w:tcPr>
          <w:p w14:paraId="0EFB4D40">
            <w:pPr>
              <w:jc w:val="center"/>
              <w:rPr>
                <w:rFonts w:hint="eastAsia" w:ascii="宋体" w:hAnsi="宋体" w:eastAsia="宋体" w:cs="宋体"/>
                <w:color w:val="auto"/>
                <w:sz w:val="22"/>
                <w:szCs w:val="22"/>
                <w:highlight w:val="none"/>
              </w:rPr>
            </w:pPr>
          </w:p>
        </w:tc>
      </w:tr>
      <w:tr w14:paraId="486B2F41">
        <w:tblPrEx>
          <w:tblCellMar>
            <w:top w:w="0" w:type="dxa"/>
            <w:left w:w="108" w:type="dxa"/>
            <w:bottom w:w="0" w:type="dxa"/>
            <w:right w:w="108" w:type="dxa"/>
          </w:tblCellMar>
        </w:tblPrEx>
        <w:trPr>
          <w:trHeight w:val="899" w:hRule="atLeast"/>
        </w:trPr>
        <w:tc>
          <w:tcPr>
            <w:tcW w:w="343" w:type="pct"/>
            <w:vMerge w:val="continue"/>
            <w:tcBorders>
              <w:left w:val="single" w:color="auto" w:sz="4" w:space="0"/>
              <w:bottom w:val="single" w:color="auto" w:sz="4" w:space="0"/>
              <w:right w:val="single" w:color="auto" w:sz="4" w:space="0"/>
            </w:tcBorders>
            <w:noWrap/>
            <w:vAlign w:val="center"/>
          </w:tcPr>
          <w:p w14:paraId="48EB7A32">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0"/>
            <w:vAlign w:val="center"/>
          </w:tcPr>
          <w:p w14:paraId="08721E06">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1580C27F">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142785B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差：肉质有异味或内脏清掏不够干净的得0分，并换货。</w:t>
            </w:r>
          </w:p>
        </w:tc>
        <w:tc>
          <w:tcPr>
            <w:tcW w:w="429" w:type="pct"/>
            <w:vMerge w:val="continue"/>
            <w:tcBorders>
              <w:left w:val="nil"/>
              <w:bottom w:val="single" w:color="auto" w:sz="4" w:space="0"/>
              <w:right w:val="single" w:color="auto" w:sz="4" w:space="0"/>
            </w:tcBorders>
            <w:noWrap/>
            <w:vAlign w:val="center"/>
          </w:tcPr>
          <w:p w14:paraId="7255B633">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37B5D672">
            <w:pPr>
              <w:jc w:val="center"/>
              <w:rPr>
                <w:rFonts w:hint="eastAsia" w:ascii="宋体" w:hAnsi="宋体" w:eastAsia="宋体" w:cs="宋体"/>
                <w:color w:val="auto"/>
                <w:sz w:val="22"/>
                <w:szCs w:val="22"/>
                <w:highlight w:val="none"/>
              </w:rPr>
            </w:pPr>
          </w:p>
        </w:tc>
      </w:tr>
      <w:tr w14:paraId="09EC677C">
        <w:tblPrEx>
          <w:tblCellMar>
            <w:top w:w="0" w:type="dxa"/>
            <w:left w:w="108" w:type="dxa"/>
            <w:bottom w:w="0" w:type="dxa"/>
            <w:right w:w="108" w:type="dxa"/>
          </w:tblCellMar>
        </w:tblPrEx>
        <w:trPr>
          <w:trHeight w:val="974" w:hRule="atLeast"/>
        </w:trPr>
        <w:tc>
          <w:tcPr>
            <w:tcW w:w="343" w:type="pct"/>
            <w:vMerge w:val="restart"/>
            <w:tcBorders>
              <w:top w:val="nil"/>
              <w:left w:val="single" w:color="auto" w:sz="4" w:space="0"/>
              <w:right w:val="single" w:color="auto" w:sz="4" w:space="0"/>
            </w:tcBorders>
            <w:noWrap/>
            <w:vAlign w:val="center"/>
          </w:tcPr>
          <w:p w14:paraId="37F76382">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8</w:t>
            </w:r>
          </w:p>
        </w:tc>
        <w:tc>
          <w:tcPr>
            <w:tcW w:w="861" w:type="pct"/>
            <w:vMerge w:val="restart"/>
            <w:tcBorders>
              <w:top w:val="nil"/>
              <w:left w:val="nil"/>
              <w:right w:val="single" w:color="auto" w:sz="4" w:space="0"/>
            </w:tcBorders>
            <w:noWrap/>
            <w:vAlign w:val="center"/>
          </w:tcPr>
          <w:p w14:paraId="09F3E3F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零星冻品副食类</w:t>
            </w:r>
          </w:p>
        </w:tc>
        <w:tc>
          <w:tcPr>
            <w:tcW w:w="306" w:type="pct"/>
            <w:vMerge w:val="restart"/>
            <w:tcBorders>
              <w:top w:val="nil"/>
              <w:left w:val="nil"/>
              <w:right w:val="single" w:color="auto" w:sz="4" w:space="0"/>
            </w:tcBorders>
            <w:noWrap/>
            <w:vAlign w:val="center"/>
          </w:tcPr>
          <w:p w14:paraId="2C4141F2">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64566B34">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优：冻肉色泽鲜亮、冻肉产品中间没有过多冰块，且具备正常滋味和气味、包装完好无损；乳制品具备正常滋味和气味、包装完好无损没有鼓胀现象的；得6分。</w:t>
            </w:r>
          </w:p>
        </w:tc>
        <w:tc>
          <w:tcPr>
            <w:tcW w:w="429" w:type="pct"/>
            <w:vMerge w:val="restart"/>
            <w:tcBorders>
              <w:top w:val="nil"/>
              <w:left w:val="nil"/>
              <w:right w:val="single" w:color="auto" w:sz="4" w:space="0"/>
            </w:tcBorders>
            <w:noWrap/>
            <w:vAlign w:val="center"/>
          </w:tcPr>
          <w:p w14:paraId="38032DA0">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00EDE037">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7898196C">
        <w:tblPrEx>
          <w:tblCellMar>
            <w:top w:w="0" w:type="dxa"/>
            <w:left w:w="108" w:type="dxa"/>
            <w:bottom w:w="0" w:type="dxa"/>
            <w:right w:w="108" w:type="dxa"/>
          </w:tblCellMar>
        </w:tblPrEx>
        <w:trPr>
          <w:trHeight w:val="974" w:hRule="atLeast"/>
        </w:trPr>
        <w:tc>
          <w:tcPr>
            <w:tcW w:w="343" w:type="pct"/>
            <w:vMerge w:val="continue"/>
            <w:tcBorders>
              <w:top w:val="nil"/>
              <w:left w:val="single" w:color="auto" w:sz="4" w:space="0"/>
              <w:right w:val="single" w:color="auto" w:sz="4" w:space="0"/>
            </w:tcBorders>
            <w:noWrap/>
            <w:vAlign w:val="center"/>
          </w:tcPr>
          <w:p w14:paraId="3D865B16">
            <w:pPr>
              <w:jc w:val="center"/>
              <w:rPr>
                <w:rFonts w:hint="eastAsia" w:ascii="宋体" w:hAnsi="宋体" w:eastAsia="宋体" w:cs="宋体"/>
                <w:color w:val="auto"/>
                <w:sz w:val="22"/>
                <w:szCs w:val="22"/>
                <w:highlight w:val="none"/>
              </w:rPr>
            </w:pPr>
          </w:p>
        </w:tc>
        <w:tc>
          <w:tcPr>
            <w:tcW w:w="861" w:type="pct"/>
            <w:vMerge w:val="continue"/>
            <w:tcBorders>
              <w:top w:val="nil"/>
              <w:left w:val="nil"/>
              <w:right w:val="single" w:color="auto" w:sz="4" w:space="0"/>
            </w:tcBorders>
            <w:noWrap/>
            <w:vAlign w:val="center"/>
          </w:tcPr>
          <w:p w14:paraId="56542F5E">
            <w:pPr>
              <w:jc w:val="center"/>
              <w:rPr>
                <w:rFonts w:hint="eastAsia" w:ascii="宋体" w:hAnsi="宋体" w:eastAsia="宋体" w:cs="宋体"/>
                <w:color w:val="auto"/>
                <w:sz w:val="22"/>
                <w:szCs w:val="22"/>
                <w:highlight w:val="none"/>
              </w:rPr>
            </w:pPr>
          </w:p>
        </w:tc>
        <w:tc>
          <w:tcPr>
            <w:tcW w:w="306" w:type="pct"/>
            <w:vMerge w:val="continue"/>
            <w:tcBorders>
              <w:top w:val="nil"/>
              <w:left w:val="nil"/>
              <w:right w:val="single" w:color="auto" w:sz="4" w:space="0"/>
            </w:tcBorders>
            <w:noWrap/>
            <w:vAlign w:val="center"/>
          </w:tcPr>
          <w:p w14:paraId="06392DD5">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64A00ED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良：冻肉色泽欠佳、冻肉产品中间有过多冰块，但备正常滋味和气味、包装完好无损；或乳制品剩余有效期不符合学校要求，具备正常滋味和气味、包装完好无损没有鼓胀现象的，得3分。</w:t>
            </w:r>
          </w:p>
        </w:tc>
        <w:tc>
          <w:tcPr>
            <w:tcW w:w="429" w:type="pct"/>
            <w:vMerge w:val="continue"/>
            <w:tcBorders>
              <w:top w:val="nil"/>
              <w:left w:val="nil"/>
              <w:right w:val="single" w:color="auto" w:sz="4" w:space="0"/>
            </w:tcBorders>
            <w:noWrap/>
            <w:vAlign w:val="center"/>
          </w:tcPr>
          <w:p w14:paraId="45BF7B13">
            <w:pPr>
              <w:jc w:val="center"/>
              <w:rPr>
                <w:rFonts w:hint="eastAsia" w:ascii="宋体" w:hAnsi="宋体" w:eastAsia="宋体" w:cs="宋体"/>
                <w:color w:val="auto"/>
                <w:sz w:val="22"/>
                <w:szCs w:val="22"/>
                <w:highlight w:val="none"/>
              </w:rPr>
            </w:pPr>
          </w:p>
        </w:tc>
        <w:tc>
          <w:tcPr>
            <w:tcW w:w="437" w:type="pct"/>
            <w:vMerge w:val="continue"/>
            <w:tcBorders>
              <w:top w:val="nil"/>
              <w:left w:val="nil"/>
              <w:right w:val="single" w:color="auto" w:sz="4" w:space="0"/>
            </w:tcBorders>
            <w:noWrap/>
            <w:vAlign w:val="center"/>
          </w:tcPr>
          <w:p w14:paraId="4991EB39">
            <w:pPr>
              <w:jc w:val="center"/>
              <w:rPr>
                <w:rFonts w:hint="eastAsia" w:ascii="宋体" w:hAnsi="宋体" w:eastAsia="宋体" w:cs="宋体"/>
                <w:color w:val="auto"/>
                <w:sz w:val="22"/>
                <w:szCs w:val="22"/>
                <w:highlight w:val="none"/>
              </w:rPr>
            </w:pPr>
          </w:p>
        </w:tc>
      </w:tr>
      <w:tr w14:paraId="0B24B9ED">
        <w:tblPrEx>
          <w:tblCellMar>
            <w:top w:w="0" w:type="dxa"/>
            <w:left w:w="108" w:type="dxa"/>
            <w:bottom w:w="0" w:type="dxa"/>
            <w:right w:w="108" w:type="dxa"/>
          </w:tblCellMar>
        </w:tblPrEx>
        <w:trPr>
          <w:trHeight w:val="974" w:hRule="atLeast"/>
        </w:trPr>
        <w:tc>
          <w:tcPr>
            <w:tcW w:w="343" w:type="pct"/>
            <w:vMerge w:val="continue"/>
            <w:tcBorders>
              <w:left w:val="single" w:color="auto" w:sz="4" w:space="0"/>
              <w:bottom w:val="single" w:color="auto" w:sz="4" w:space="0"/>
              <w:right w:val="single" w:color="auto" w:sz="4" w:space="0"/>
            </w:tcBorders>
            <w:noWrap/>
            <w:vAlign w:val="center"/>
          </w:tcPr>
          <w:p w14:paraId="3207FF21">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17F15323">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552A7600">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0D80347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差：冻肉有异味、肉色发黑或乳制品有不良口感，包装有破损或鼓胀现象的，得0分。注：此项评价为差时，须无条件为学校免费更换不合格的货品。</w:t>
            </w:r>
          </w:p>
        </w:tc>
        <w:tc>
          <w:tcPr>
            <w:tcW w:w="429" w:type="pct"/>
            <w:vMerge w:val="continue"/>
            <w:tcBorders>
              <w:left w:val="nil"/>
              <w:bottom w:val="single" w:color="auto" w:sz="4" w:space="0"/>
              <w:right w:val="single" w:color="auto" w:sz="4" w:space="0"/>
            </w:tcBorders>
            <w:noWrap/>
            <w:vAlign w:val="center"/>
          </w:tcPr>
          <w:p w14:paraId="177DD0F5">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7CDF3146">
            <w:pPr>
              <w:jc w:val="center"/>
              <w:rPr>
                <w:rFonts w:hint="eastAsia" w:ascii="宋体" w:hAnsi="宋体" w:eastAsia="宋体" w:cs="宋体"/>
                <w:color w:val="auto"/>
                <w:sz w:val="22"/>
                <w:szCs w:val="22"/>
                <w:highlight w:val="none"/>
              </w:rPr>
            </w:pPr>
          </w:p>
        </w:tc>
      </w:tr>
      <w:tr w14:paraId="3D2923BB">
        <w:tblPrEx>
          <w:tblCellMar>
            <w:top w:w="0" w:type="dxa"/>
            <w:left w:w="108" w:type="dxa"/>
            <w:bottom w:w="0" w:type="dxa"/>
            <w:right w:w="108" w:type="dxa"/>
          </w:tblCellMar>
        </w:tblPrEx>
        <w:trPr>
          <w:trHeight w:val="884" w:hRule="atLeast"/>
        </w:trPr>
        <w:tc>
          <w:tcPr>
            <w:tcW w:w="343" w:type="pct"/>
            <w:vMerge w:val="restart"/>
            <w:tcBorders>
              <w:top w:val="nil"/>
              <w:left w:val="single" w:color="auto" w:sz="4" w:space="0"/>
              <w:right w:val="single" w:color="auto" w:sz="4" w:space="0"/>
            </w:tcBorders>
            <w:noWrap/>
            <w:vAlign w:val="center"/>
          </w:tcPr>
          <w:p w14:paraId="5320FDAD">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9</w:t>
            </w:r>
          </w:p>
        </w:tc>
        <w:tc>
          <w:tcPr>
            <w:tcW w:w="861" w:type="pct"/>
            <w:vMerge w:val="restart"/>
            <w:tcBorders>
              <w:top w:val="nil"/>
              <w:left w:val="nil"/>
              <w:right w:val="single" w:color="auto" w:sz="4" w:space="0"/>
            </w:tcBorders>
            <w:noWrap/>
            <w:vAlign w:val="center"/>
          </w:tcPr>
          <w:p w14:paraId="35C46C4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蔬菜类</w:t>
            </w:r>
          </w:p>
        </w:tc>
        <w:tc>
          <w:tcPr>
            <w:tcW w:w="306" w:type="pct"/>
            <w:vMerge w:val="restart"/>
            <w:tcBorders>
              <w:top w:val="nil"/>
              <w:left w:val="nil"/>
              <w:right w:val="single" w:color="auto" w:sz="4" w:space="0"/>
            </w:tcBorders>
            <w:noWrap/>
            <w:vAlign w:val="center"/>
          </w:tcPr>
          <w:p w14:paraId="317A5B34">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shd w:val="clear" w:color="auto" w:fill="auto"/>
                <w:lang w:val="en-US" w:eastAsia="zh-CN"/>
              </w:rPr>
              <w:t>8</w:t>
            </w:r>
          </w:p>
        </w:tc>
        <w:tc>
          <w:tcPr>
            <w:tcW w:w="2621" w:type="pct"/>
            <w:gridSpan w:val="2"/>
            <w:tcBorders>
              <w:top w:val="nil"/>
              <w:left w:val="nil"/>
              <w:bottom w:val="single" w:color="auto" w:sz="4" w:space="0"/>
              <w:right w:val="single" w:color="auto" w:sz="4" w:space="0"/>
            </w:tcBorders>
            <w:noWrap w:val="0"/>
            <w:vAlign w:val="center"/>
          </w:tcPr>
          <w:p w14:paraId="63DA455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优：新鲜、无异味、无霉烂变质的得</w:t>
            </w:r>
            <w:r>
              <w:rPr>
                <w:rFonts w:hint="eastAsia" w:ascii="宋体" w:hAnsi="宋体" w:eastAsia="宋体" w:cs="宋体"/>
                <w:color w:val="auto"/>
                <w:sz w:val="22"/>
                <w:szCs w:val="22"/>
                <w:highlight w:val="none"/>
                <w:shd w:val="clear" w:color="auto" w:fill="auto"/>
                <w:lang w:val="en-US" w:eastAsia="zh-CN"/>
              </w:rPr>
              <w:t>8</w:t>
            </w:r>
            <w:r>
              <w:rPr>
                <w:rFonts w:hint="eastAsia" w:ascii="宋体" w:hAnsi="宋体" w:eastAsia="宋体" w:cs="宋体"/>
                <w:color w:val="auto"/>
                <w:sz w:val="22"/>
                <w:szCs w:val="22"/>
                <w:highlight w:val="none"/>
              </w:rPr>
              <w:t>分。</w:t>
            </w:r>
          </w:p>
        </w:tc>
        <w:tc>
          <w:tcPr>
            <w:tcW w:w="429" w:type="pct"/>
            <w:vMerge w:val="restart"/>
            <w:tcBorders>
              <w:top w:val="nil"/>
              <w:left w:val="nil"/>
              <w:right w:val="single" w:color="auto" w:sz="4" w:space="0"/>
            </w:tcBorders>
            <w:noWrap/>
            <w:vAlign w:val="center"/>
          </w:tcPr>
          <w:p w14:paraId="2FD8195C">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648DE99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215EE9B9">
        <w:tblPrEx>
          <w:tblCellMar>
            <w:top w:w="0" w:type="dxa"/>
            <w:left w:w="108" w:type="dxa"/>
            <w:bottom w:w="0" w:type="dxa"/>
            <w:right w:w="108" w:type="dxa"/>
          </w:tblCellMar>
        </w:tblPrEx>
        <w:trPr>
          <w:trHeight w:val="884" w:hRule="atLeast"/>
        </w:trPr>
        <w:tc>
          <w:tcPr>
            <w:tcW w:w="343" w:type="pct"/>
            <w:vMerge w:val="continue"/>
            <w:tcBorders>
              <w:top w:val="nil"/>
              <w:left w:val="single" w:color="auto" w:sz="4" w:space="0"/>
              <w:right w:val="single" w:color="auto" w:sz="4" w:space="0"/>
            </w:tcBorders>
            <w:noWrap/>
            <w:vAlign w:val="center"/>
          </w:tcPr>
          <w:p w14:paraId="3794E449">
            <w:pPr>
              <w:jc w:val="center"/>
              <w:rPr>
                <w:rFonts w:hint="eastAsia" w:ascii="宋体" w:hAnsi="宋体" w:eastAsia="宋体" w:cs="宋体"/>
                <w:color w:val="auto"/>
                <w:sz w:val="22"/>
                <w:szCs w:val="22"/>
                <w:highlight w:val="none"/>
              </w:rPr>
            </w:pPr>
          </w:p>
        </w:tc>
        <w:tc>
          <w:tcPr>
            <w:tcW w:w="861" w:type="pct"/>
            <w:vMerge w:val="continue"/>
            <w:tcBorders>
              <w:top w:val="nil"/>
              <w:left w:val="nil"/>
              <w:right w:val="single" w:color="auto" w:sz="4" w:space="0"/>
            </w:tcBorders>
            <w:noWrap/>
            <w:vAlign w:val="center"/>
          </w:tcPr>
          <w:p w14:paraId="2297FFDE">
            <w:pPr>
              <w:jc w:val="center"/>
              <w:rPr>
                <w:rFonts w:hint="eastAsia" w:ascii="宋体" w:hAnsi="宋体" w:eastAsia="宋体" w:cs="宋体"/>
                <w:color w:val="auto"/>
                <w:sz w:val="22"/>
                <w:szCs w:val="22"/>
                <w:highlight w:val="none"/>
              </w:rPr>
            </w:pPr>
          </w:p>
        </w:tc>
        <w:tc>
          <w:tcPr>
            <w:tcW w:w="306" w:type="pct"/>
            <w:vMerge w:val="continue"/>
            <w:tcBorders>
              <w:top w:val="nil"/>
              <w:left w:val="nil"/>
              <w:right w:val="single" w:color="auto" w:sz="4" w:space="0"/>
            </w:tcBorders>
            <w:noWrap/>
            <w:vAlign w:val="center"/>
          </w:tcPr>
          <w:p w14:paraId="07887CB4">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2502D57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良：有少量挤伤、压伤或皱皮的得</w:t>
            </w:r>
            <w:r>
              <w:rPr>
                <w:rFonts w:hint="eastAsia" w:ascii="宋体" w:hAnsi="宋体" w:eastAsia="宋体" w:cs="宋体"/>
                <w:color w:val="auto"/>
                <w:sz w:val="22"/>
                <w:szCs w:val="22"/>
                <w:highlight w:val="none"/>
                <w:shd w:val="clear" w:color="auto" w:fill="auto"/>
                <w:lang w:val="en-US" w:eastAsia="zh-CN"/>
              </w:rPr>
              <w:t>4</w:t>
            </w:r>
            <w:r>
              <w:rPr>
                <w:rFonts w:hint="eastAsia" w:ascii="宋体" w:hAnsi="宋体" w:eastAsia="宋体" w:cs="宋体"/>
                <w:color w:val="auto"/>
                <w:sz w:val="22"/>
                <w:szCs w:val="22"/>
                <w:highlight w:val="none"/>
              </w:rPr>
              <w:t>分。</w:t>
            </w:r>
          </w:p>
        </w:tc>
        <w:tc>
          <w:tcPr>
            <w:tcW w:w="429" w:type="pct"/>
            <w:vMerge w:val="continue"/>
            <w:tcBorders>
              <w:top w:val="nil"/>
              <w:left w:val="nil"/>
              <w:right w:val="single" w:color="auto" w:sz="4" w:space="0"/>
            </w:tcBorders>
            <w:noWrap/>
            <w:vAlign w:val="center"/>
          </w:tcPr>
          <w:p w14:paraId="07783EB7">
            <w:pPr>
              <w:jc w:val="center"/>
              <w:rPr>
                <w:rFonts w:hint="eastAsia" w:ascii="宋体" w:hAnsi="宋体" w:eastAsia="宋体" w:cs="宋体"/>
                <w:color w:val="auto"/>
                <w:sz w:val="22"/>
                <w:szCs w:val="22"/>
                <w:highlight w:val="none"/>
              </w:rPr>
            </w:pPr>
          </w:p>
        </w:tc>
        <w:tc>
          <w:tcPr>
            <w:tcW w:w="437" w:type="pct"/>
            <w:vMerge w:val="continue"/>
            <w:tcBorders>
              <w:top w:val="nil"/>
              <w:left w:val="nil"/>
              <w:right w:val="single" w:color="auto" w:sz="4" w:space="0"/>
            </w:tcBorders>
            <w:noWrap/>
            <w:vAlign w:val="center"/>
          </w:tcPr>
          <w:p w14:paraId="629C849D">
            <w:pPr>
              <w:jc w:val="center"/>
              <w:rPr>
                <w:rFonts w:hint="eastAsia" w:ascii="宋体" w:hAnsi="宋体" w:eastAsia="宋体" w:cs="宋体"/>
                <w:color w:val="auto"/>
                <w:sz w:val="22"/>
                <w:szCs w:val="22"/>
                <w:highlight w:val="none"/>
              </w:rPr>
            </w:pPr>
          </w:p>
        </w:tc>
      </w:tr>
      <w:tr w14:paraId="75A35239">
        <w:tblPrEx>
          <w:tblCellMar>
            <w:top w:w="0" w:type="dxa"/>
            <w:left w:w="108" w:type="dxa"/>
            <w:bottom w:w="0" w:type="dxa"/>
            <w:right w:w="108" w:type="dxa"/>
          </w:tblCellMar>
        </w:tblPrEx>
        <w:trPr>
          <w:trHeight w:val="884" w:hRule="atLeast"/>
        </w:trPr>
        <w:tc>
          <w:tcPr>
            <w:tcW w:w="343" w:type="pct"/>
            <w:vMerge w:val="continue"/>
            <w:tcBorders>
              <w:left w:val="single" w:color="auto" w:sz="4" w:space="0"/>
              <w:bottom w:val="single" w:color="auto" w:sz="4" w:space="0"/>
              <w:right w:val="single" w:color="auto" w:sz="4" w:space="0"/>
            </w:tcBorders>
            <w:noWrap/>
            <w:vAlign w:val="center"/>
          </w:tcPr>
          <w:p w14:paraId="368A2CFA">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36759066">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25645DCC">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18CFCD65">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差：萎蔫、大的碰伤或切口的得0分，并换货。</w:t>
            </w:r>
          </w:p>
        </w:tc>
        <w:tc>
          <w:tcPr>
            <w:tcW w:w="429" w:type="pct"/>
            <w:vMerge w:val="continue"/>
            <w:tcBorders>
              <w:left w:val="nil"/>
              <w:bottom w:val="single" w:color="auto" w:sz="4" w:space="0"/>
              <w:right w:val="single" w:color="auto" w:sz="4" w:space="0"/>
            </w:tcBorders>
            <w:noWrap/>
            <w:vAlign w:val="center"/>
          </w:tcPr>
          <w:p w14:paraId="50C22A30">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34DC6149">
            <w:pPr>
              <w:jc w:val="center"/>
              <w:rPr>
                <w:rFonts w:hint="eastAsia" w:ascii="宋体" w:hAnsi="宋体" w:eastAsia="宋体" w:cs="宋体"/>
                <w:color w:val="auto"/>
                <w:sz w:val="22"/>
                <w:szCs w:val="22"/>
                <w:highlight w:val="none"/>
              </w:rPr>
            </w:pPr>
          </w:p>
        </w:tc>
      </w:tr>
      <w:tr w14:paraId="7E6B2792">
        <w:tblPrEx>
          <w:tblCellMar>
            <w:top w:w="0" w:type="dxa"/>
            <w:left w:w="108" w:type="dxa"/>
            <w:bottom w:w="0" w:type="dxa"/>
            <w:right w:w="108" w:type="dxa"/>
          </w:tblCellMar>
        </w:tblPrEx>
        <w:trPr>
          <w:trHeight w:val="784" w:hRule="atLeast"/>
        </w:trPr>
        <w:tc>
          <w:tcPr>
            <w:tcW w:w="343" w:type="pct"/>
            <w:vMerge w:val="restart"/>
            <w:tcBorders>
              <w:top w:val="nil"/>
              <w:left w:val="single" w:color="auto" w:sz="4" w:space="0"/>
              <w:right w:val="single" w:color="auto" w:sz="4" w:space="0"/>
            </w:tcBorders>
            <w:noWrap/>
            <w:vAlign w:val="center"/>
          </w:tcPr>
          <w:p w14:paraId="55FB55F7">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861" w:type="pct"/>
            <w:vMerge w:val="restart"/>
            <w:tcBorders>
              <w:top w:val="nil"/>
              <w:left w:val="nil"/>
              <w:right w:val="single" w:color="auto" w:sz="4" w:space="0"/>
            </w:tcBorders>
            <w:noWrap/>
            <w:vAlign w:val="center"/>
          </w:tcPr>
          <w:p w14:paraId="016DD23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面包、糕点类</w:t>
            </w:r>
          </w:p>
        </w:tc>
        <w:tc>
          <w:tcPr>
            <w:tcW w:w="306" w:type="pct"/>
            <w:vMerge w:val="restart"/>
            <w:tcBorders>
              <w:top w:val="nil"/>
              <w:left w:val="nil"/>
              <w:right w:val="single" w:color="auto" w:sz="4" w:space="0"/>
            </w:tcBorders>
            <w:noWrap/>
            <w:vAlign w:val="center"/>
          </w:tcPr>
          <w:p w14:paraId="0ACEC82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7ECDC215">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优：完整，丰满，无黑泡的得6分。</w:t>
            </w:r>
          </w:p>
        </w:tc>
        <w:tc>
          <w:tcPr>
            <w:tcW w:w="429" w:type="pct"/>
            <w:vMerge w:val="restart"/>
            <w:tcBorders>
              <w:top w:val="nil"/>
              <w:left w:val="nil"/>
              <w:right w:val="single" w:color="auto" w:sz="4" w:space="0"/>
            </w:tcBorders>
            <w:noWrap/>
            <w:vAlign w:val="center"/>
          </w:tcPr>
          <w:p w14:paraId="597F8588">
            <w:pPr>
              <w:jc w:val="center"/>
              <w:rPr>
                <w:rFonts w:hint="eastAsia" w:ascii="宋体" w:hAnsi="宋体" w:eastAsia="宋体" w:cs="宋体"/>
                <w:color w:val="auto"/>
                <w:sz w:val="22"/>
                <w:szCs w:val="22"/>
                <w:highlight w:val="none"/>
              </w:rPr>
            </w:pPr>
          </w:p>
        </w:tc>
        <w:tc>
          <w:tcPr>
            <w:tcW w:w="437" w:type="pct"/>
            <w:vMerge w:val="restart"/>
            <w:tcBorders>
              <w:top w:val="nil"/>
              <w:left w:val="nil"/>
              <w:right w:val="single" w:color="auto" w:sz="4" w:space="0"/>
            </w:tcBorders>
            <w:noWrap/>
            <w:vAlign w:val="center"/>
          </w:tcPr>
          <w:p w14:paraId="79B2EE6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34BB86CA">
        <w:tblPrEx>
          <w:tblCellMar>
            <w:top w:w="0" w:type="dxa"/>
            <w:left w:w="108" w:type="dxa"/>
            <w:bottom w:w="0" w:type="dxa"/>
            <w:right w:w="108" w:type="dxa"/>
          </w:tblCellMar>
        </w:tblPrEx>
        <w:trPr>
          <w:trHeight w:val="734" w:hRule="atLeast"/>
        </w:trPr>
        <w:tc>
          <w:tcPr>
            <w:tcW w:w="343" w:type="pct"/>
            <w:vMerge w:val="continue"/>
            <w:tcBorders>
              <w:top w:val="nil"/>
              <w:left w:val="single" w:color="auto" w:sz="4" w:space="0"/>
              <w:right w:val="single" w:color="auto" w:sz="4" w:space="0"/>
            </w:tcBorders>
            <w:noWrap/>
            <w:vAlign w:val="center"/>
          </w:tcPr>
          <w:p w14:paraId="1D9E6492">
            <w:pPr>
              <w:jc w:val="center"/>
              <w:rPr>
                <w:rFonts w:hint="eastAsia" w:ascii="宋体" w:hAnsi="宋体" w:eastAsia="宋体" w:cs="宋体"/>
                <w:color w:val="auto"/>
                <w:sz w:val="22"/>
                <w:szCs w:val="22"/>
                <w:highlight w:val="none"/>
              </w:rPr>
            </w:pPr>
          </w:p>
        </w:tc>
        <w:tc>
          <w:tcPr>
            <w:tcW w:w="861" w:type="pct"/>
            <w:vMerge w:val="continue"/>
            <w:tcBorders>
              <w:top w:val="nil"/>
              <w:left w:val="nil"/>
              <w:right w:val="single" w:color="auto" w:sz="4" w:space="0"/>
            </w:tcBorders>
            <w:noWrap/>
            <w:vAlign w:val="center"/>
          </w:tcPr>
          <w:p w14:paraId="1098886E">
            <w:pPr>
              <w:jc w:val="center"/>
              <w:rPr>
                <w:rFonts w:hint="eastAsia" w:ascii="宋体" w:hAnsi="宋体" w:eastAsia="宋体" w:cs="宋体"/>
                <w:color w:val="auto"/>
                <w:sz w:val="22"/>
                <w:szCs w:val="22"/>
                <w:highlight w:val="none"/>
              </w:rPr>
            </w:pPr>
          </w:p>
        </w:tc>
        <w:tc>
          <w:tcPr>
            <w:tcW w:w="306" w:type="pct"/>
            <w:vMerge w:val="continue"/>
            <w:tcBorders>
              <w:top w:val="nil"/>
              <w:left w:val="nil"/>
              <w:right w:val="single" w:color="auto" w:sz="4" w:space="0"/>
            </w:tcBorders>
            <w:noWrap/>
            <w:vAlign w:val="center"/>
          </w:tcPr>
          <w:p w14:paraId="0425918A">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6FE7FF4A">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良：少部分不完整、表皮有裂口的得3分。</w:t>
            </w:r>
          </w:p>
        </w:tc>
        <w:tc>
          <w:tcPr>
            <w:tcW w:w="429" w:type="pct"/>
            <w:vMerge w:val="continue"/>
            <w:tcBorders>
              <w:top w:val="nil"/>
              <w:left w:val="nil"/>
              <w:right w:val="single" w:color="auto" w:sz="4" w:space="0"/>
            </w:tcBorders>
            <w:noWrap/>
            <w:vAlign w:val="center"/>
          </w:tcPr>
          <w:p w14:paraId="7BFFE468">
            <w:pPr>
              <w:jc w:val="center"/>
              <w:rPr>
                <w:rFonts w:hint="eastAsia" w:ascii="宋体" w:hAnsi="宋体" w:eastAsia="宋体" w:cs="宋体"/>
                <w:color w:val="auto"/>
                <w:sz w:val="22"/>
                <w:szCs w:val="22"/>
                <w:highlight w:val="none"/>
              </w:rPr>
            </w:pPr>
          </w:p>
        </w:tc>
        <w:tc>
          <w:tcPr>
            <w:tcW w:w="437" w:type="pct"/>
            <w:vMerge w:val="continue"/>
            <w:tcBorders>
              <w:top w:val="nil"/>
              <w:left w:val="nil"/>
              <w:right w:val="single" w:color="auto" w:sz="4" w:space="0"/>
            </w:tcBorders>
            <w:noWrap/>
            <w:vAlign w:val="center"/>
          </w:tcPr>
          <w:p w14:paraId="6FE145D7">
            <w:pPr>
              <w:jc w:val="center"/>
              <w:rPr>
                <w:rFonts w:hint="eastAsia" w:ascii="宋体" w:hAnsi="宋体" w:eastAsia="宋体" w:cs="宋体"/>
                <w:color w:val="auto"/>
                <w:sz w:val="22"/>
                <w:szCs w:val="22"/>
                <w:highlight w:val="none"/>
              </w:rPr>
            </w:pPr>
          </w:p>
        </w:tc>
      </w:tr>
      <w:tr w14:paraId="5CAF67D7">
        <w:tblPrEx>
          <w:tblCellMar>
            <w:top w:w="0" w:type="dxa"/>
            <w:left w:w="108" w:type="dxa"/>
            <w:bottom w:w="0" w:type="dxa"/>
            <w:right w:w="108" w:type="dxa"/>
          </w:tblCellMar>
        </w:tblPrEx>
        <w:trPr>
          <w:trHeight w:val="984" w:hRule="atLeast"/>
        </w:trPr>
        <w:tc>
          <w:tcPr>
            <w:tcW w:w="343" w:type="pct"/>
            <w:vMerge w:val="continue"/>
            <w:tcBorders>
              <w:left w:val="single" w:color="auto" w:sz="4" w:space="0"/>
              <w:bottom w:val="single" w:color="auto" w:sz="4" w:space="0"/>
              <w:right w:val="single" w:color="auto" w:sz="4" w:space="0"/>
            </w:tcBorders>
            <w:noWrap/>
            <w:vAlign w:val="center"/>
          </w:tcPr>
          <w:p w14:paraId="5F5ABDA5">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0CD90844">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4E334A9E">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20C7E57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差：表皮有裂口、黑泡或明显焦斑的得0分，并换货。</w:t>
            </w:r>
          </w:p>
        </w:tc>
        <w:tc>
          <w:tcPr>
            <w:tcW w:w="429" w:type="pct"/>
            <w:vMerge w:val="continue"/>
            <w:tcBorders>
              <w:left w:val="nil"/>
              <w:bottom w:val="single" w:color="auto" w:sz="4" w:space="0"/>
              <w:right w:val="single" w:color="auto" w:sz="4" w:space="0"/>
            </w:tcBorders>
            <w:noWrap/>
            <w:vAlign w:val="center"/>
          </w:tcPr>
          <w:p w14:paraId="4E8E41DB">
            <w:pPr>
              <w:jc w:val="cente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38284A09">
            <w:pPr>
              <w:jc w:val="center"/>
              <w:rPr>
                <w:rFonts w:hint="eastAsia" w:ascii="宋体" w:hAnsi="宋体" w:eastAsia="宋体" w:cs="宋体"/>
                <w:color w:val="auto"/>
                <w:sz w:val="22"/>
                <w:szCs w:val="22"/>
                <w:highlight w:val="none"/>
              </w:rPr>
            </w:pPr>
          </w:p>
        </w:tc>
      </w:tr>
      <w:tr w14:paraId="705A815F">
        <w:tblPrEx>
          <w:tblCellMar>
            <w:top w:w="0" w:type="dxa"/>
            <w:left w:w="108" w:type="dxa"/>
            <w:bottom w:w="0" w:type="dxa"/>
            <w:right w:w="108" w:type="dxa"/>
          </w:tblCellMar>
        </w:tblPrEx>
        <w:trPr>
          <w:trHeight w:val="1090" w:hRule="atLeast"/>
        </w:trPr>
        <w:tc>
          <w:tcPr>
            <w:tcW w:w="343" w:type="pct"/>
            <w:tcBorders>
              <w:top w:val="single" w:color="auto" w:sz="4" w:space="0"/>
              <w:left w:val="single" w:color="auto" w:sz="4" w:space="0"/>
              <w:bottom w:val="single" w:color="auto" w:sz="4" w:space="0"/>
              <w:right w:val="single" w:color="auto" w:sz="4" w:space="0"/>
            </w:tcBorders>
            <w:noWrap/>
            <w:vAlign w:val="center"/>
          </w:tcPr>
          <w:p w14:paraId="153DBE2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861" w:type="pct"/>
            <w:tcBorders>
              <w:top w:val="single" w:color="auto" w:sz="4" w:space="0"/>
              <w:left w:val="nil"/>
              <w:bottom w:val="single" w:color="auto" w:sz="4" w:space="0"/>
              <w:right w:val="single" w:color="auto" w:sz="4" w:space="0"/>
            </w:tcBorders>
            <w:noWrap/>
            <w:vAlign w:val="center"/>
          </w:tcPr>
          <w:p w14:paraId="5F92921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供应商服务</w:t>
            </w:r>
          </w:p>
        </w:tc>
        <w:tc>
          <w:tcPr>
            <w:tcW w:w="306" w:type="pct"/>
            <w:tcBorders>
              <w:top w:val="single" w:color="auto" w:sz="4" w:space="0"/>
              <w:left w:val="nil"/>
              <w:bottom w:val="single" w:color="auto" w:sz="4" w:space="0"/>
              <w:right w:val="single" w:color="auto" w:sz="4" w:space="0"/>
            </w:tcBorders>
            <w:noWrap/>
            <w:vAlign w:val="center"/>
          </w:tcPr>
          <w:p w14:paraId="555284E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分值</w:t>
            </w:r>
          </w:p>
        </w:tc>
        <w:tc>
          <w:tcPr>
            <w:tcW w:w="2621" w:type="pct"/>
            <w:gridSpan w:val="2"/>
            <w:tcBorders>
              <w:top w:val="single" w:color="auto" w:sz="4" w:space="0"/>
              <w:left w:val="nil"/>
              <w:bottom w:val="single" w:color="auto" w:sz="4" w:space="0"/>
              <w:right w:val="single" w:color="auto" w:sz="4" w:space="0"/>
            </w:tcBorders>
            <w:noWrap/>
            <w:vAlign w:val="center"/>
          </w:tcPr>
          <w:p w14:paraId="23121EA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评价依据</w:t>
            </w:r>
          </w:p>
        </w:tc>
        <w:tc>
          <w:tcPr>
            <w:tcW w:w="429" w:type="pct"/>
            <w:tcBorders>
              <w:top w:val="single" w:color="auto" w:sz="4" w:space="0"/>
              <w:left w:val="nil"/>
              <w:bottom w:val="single" w:color="auto" w:sz="4" w:space="0"/>
              <w:right w:val="single" w:color="auto" w:sz="4" w:space="0"/>
            </w:tcBorders>
            <w:noWrap/>
            <w:vAlign w:val="center"/>
          </w:tcPr>
          <w:p w14:paraId="216A5185">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得分</w:t>
            </w:r>
          </w:p>
        </w:tc>
        <w:tc>
          <w:tcPr>
            <w:tcW w:w="437" w:type="pct"/>
            <w:tcBorders>
              <w:top w:val="single" w:color="auto" w:sz="4" w:space="0"/>
              <w:left w:val="nil"/>
              <w:bottom w:val="single" w:color="auto" w:sz="4" w:space="0"/>
              <w:right w:val="single" w:color="auto" w:sz="4" w:space="0"/>
            </w:tcBorders>
            <w:noWrap/>
            <w:vAlign w:val="center"/>
          </w:tcPr>
          <w:p w14:paraId="7AF053B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14:paraId="160674AD">
        <w:tblPrEx>
          <w:tblCellMar>
            <w:top w:w="0" w:type="dxa"/>
            <w:left w:w="108" w:type="dxa"/>
            <w:bottom w:w="0" w:type="dxa"/>
            <w:right w:w="108" w:type="dxa"/>
          </w:tblCellMar>
        </w:tblPrEx>
        <w:trPr>
          <w:trHeight w:val="1114"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097F060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供应商服务情况考核(共28分)</w:t>
            </w:r>
          </w:p>
        </w:tc>
      </w:tr>
      <w:tr w14:paraId="279B71E2">
        <w:tblPrEx>
          <w:tblCellMar>
            <w:top w:w="0" w:type="dxa"/>
            <w:left w:w="108" w:type="dxa"/>
            <w:bottom w:w="0" w:type="dxa"/>
            <w:right w:w="108" w:type="dxa"/>
          </w:tblCellMar>
        </w:tblPrEx>
        <w:trPr>
          <w:trHeight w:val="554" w:hRule="atLeast"/>
        </w:trPr>
        <w:tc>
          <w:tcPr>
            <w:tcW w:w="343" w:type="pct"/>
            <w:vMerge w:val="restart"/>
            <w:tcBorders>
              <w:top w:val="single" w:color="auto" w:sz="4" w:space="0"/>
              <w:left w:val="single" w:color="auto" w:sz="4" w:space="0"/>
              <w:right w:val="single" w:color="auto" w:sz="4" w:space="0"/>
            </w:tcBorders>
            <w:noWrap/>
            <w:vAlign w:val="center"/>
          </w:tcPr>
          <w:p w14:paraId="5BA00A48">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w:t>
            </w:r>
          </w:p>
        </w:tc>
        <w:tc>
          <w:tcPr>
            <w:tcW w:w="861" w:type="pct"/>
            <w:vMerge w:val="restart"/>
            <w:tcBorders>
              <w:top w:val="single" w:color="auto" w:sz="4" w:space="0"/>
              <w:left w:val="nil"/>
              <w:right w:val="single" w:color="auto" w:sz="4" w:space="0"/>
            </w:tcBorders>
            <w:noWrap/>
            <w:vAlign w:val="center"/>
          </w:tcPr>
          <w:p w14:paraId="4E2C5D4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服务质量</w:t>
            </w:r>
          </w:p>
        </w:tc>
        <w:tc>
          <w:tcPr>
            <w:tcW w:w="306" w:type="pct"/>
            <w:vMerge w:val="restart"/>
            <w:tcBorders>
              <w:top w:val="single" w:color="auto" w:sz="4" w:space="0"/>
              <w:left w:val="nil"/>
              <w:right w:val="single" w:color="auto" w:sz="4" w:space="0"/>
            </w:tcBorders>
            <w:noWrap/>
            <w:vAlign w:val="center"/>
          </w:tcPr>
          <w:p w14:paraId="4E12B6F9">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shd w:val="clear" w:color="auto" w:fill="auto"/>
                <w:lang w:val="en-US" w:eastAsia="zh-CN"/>
              </w:rPr>
              <w:t>8</w:t>
            </w:r>
          </w:p>
        </w:tc>
        <w:tc>
          <w:tcPr>
            <w:tcW w:w="2621" w:type="pct"/>
            <w:gridSpan w:val="2"/>
            <w:tcBorders>
              <w:top w:val="single" w:color="auto" w:sz="4" w:space="0"/>
              <w:left w:val="nil"/>
              <w:bottom w:val="single" w:color="auto" w:sz="4" w:space="0"/>
              <w:right w:val="single" w:color="auto" w:sz="4" w:space="0"/>
            </w:tcBorders>
            <w:noWrap w:val="0"/>
            <w:vAlign w:val="center"/>
          </w:tcPr>
          <w:p w14:paraId="58B4592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优：配送及相关人员服务态度好的得</w:t>
            </w:r>
            <w:r>
              <w:rPr>
                <w:rFonts w:hint="eastAsia" w:ascii="宋体" w:hAnsi="宋体" w:eastAsia="宋体" w:cs="宋体"/>
                <w:color w:val="auto"/>
                <w:sz w:val="22"/>
                <w:szCs w:val="22"/>
                <w:highlight w:val="none"/>
                <w:shd w:val="clear" w:color="auto" w:fill="auto"/>
                <w:lang w:val="en-US" w:eastAsia="zh-CN"/>
              </w:rPr>
              <w:t>8</w:t>
            </w:r>
            <w:r>
              <w:rPr>
                <w:rFonts w:hint="eastAsia" w:ascii="宋体" w:hAnsi="宋体" w:eastAsia="宋体" w:cs="宋体"/>
                <w:color w:val="auto"/>
                <w:sz w:val="22"/>
                <w:szCs w:val="22"/>
                <w:highlight w:val="none"/>
              </w:rPr>
              <w:t>分。</w:t>
            </w:r>
          </w:p>
        </w:tc>
        <w:tc>
          <w:tcPr>
            <w:tcW w:w="429" w:type="pct"/>
            <w:vMerge w:val="restart"/>
            <w:tcBorders>
              <w:top w:val="single" w:color="auto" w:sz="4" w:space="0"/>
              <w:left w:val="nil"/>
              <w:right w:val="single" w:color="auto" w:sz="4" w:space="0"/>
            </w:tcBorders>
            <w:noWrap/>
            <w:vAlign w:val="center"/>
          </w:tcPr>
          <w:p w14:paraId="58A08680">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437" w:type="pct"/>
            <w:vMerge w:val="restart"/>
            <w:tcBorders>
              <w:top w:val="single" w:color="auto" w:sz="4" w:space="0"/>
              <w:left w:val="nil"/>
              <w:right w:val="single" w:color="auto" w:sz="4" w:space="0"/>
            </w:tcBorders>
            <w:noWrap/>
            <w:vAlign w:val="center"/>
          </w:tcPr>
          <w:p w14:paraId="76E55C19">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48094003">
        <w:tblPrEx>
          <w:tblCellMar>
            <w:top w:w="0" w:type="dxa"/>
            <w:left w:w="108" w:type="dxa"/>
            <w:bottom w:w="0" w:type="dxa"/>
            <w:right w:w="108" w:type="dxa"/>
          </w:tblCellMar>
        </w:tblPrEx>
        <w:trPr>
          <w:trHeight w:val="554" w:hRule="atLeast"/>
        </w:trPr>
        <w:tc>
          <w:tcPr>
            <w:tcW w:w="343" w:type="pct"/>
            <w:vMerge w:val="continue"/>
            <w:tcBorders>
              <w:top w:val="single" w:color="auto" w:sz="4" w:space="0"/>
              <w:left w:val="single" w:color="auto" w:sz="4" w:space="0"/>
              <w:bottom w:val="single" w:color="auto" w:sz="4" w:space="0"/>
              <w:right w:val="single" w:color="auto" w:sz="4" w:space="0"/>
            </w:tcBorders>
            <w:noWrap/>
            <w:vAlign w:val="center"/>
          </w:tcPr>
          <w:p w14:paraId="07E6CE2B">
            <w:pPr>
              <w:jc w:val="center"/>
              <w:rPr>
                <w:rFonts w:hint="eastAsia" w:ascii="宋体" w:hAnsi="宋体" w:eastAsia="宋体" w:cs="宋体"/>
                <w:color w:val="auto"/>
                <w:sz w:val="22"/>
                <w:szCs w:val="22"/>
                <w:highlight w:val="none"/>
              </w:rPr>
            </w:pPr>
          </w:p>
        </w:tc>
        <w:tc>
          <w:tcPr>
            <w:tcW w:w="861" w:type="pct"/>
            <w:vMerge w:val="continue"/>
            <w:tcBorders>
              <w:top w:val="single" w:color="auto" w:sz="4" w:space="0"/>
              <w:left w:val="nil"/>
              <w:bottom w:val="single" w:color="auto" w:sz="4" w:space="0"/>
              <w:right w:val="single" w:color="auto" w:sz="4" w:space="0"/>
            </w:tcBorders>
            <w:noWrap/>
            <w:vAlign w:val="center"/>
          </w:tcPr>
          <w:p w14:paraId="35218E58">
            <w:pPr>
              <w:jc w:val="center"/>
              <w:rPr>
                <w:rFonts w:hint="eastAsia" w:ascii="宋体" w:hAnsi="宋体" w:eastAsia="宋体" w:cs="宋体"/>
                <w:color w:val="auto"/>
                <w:sz w:val="22"/>
                <w:szCs w:val="22"/>
                <w:highlight w:val="none"/>
              </w:rPr>
            </w:pPr>
          </w:p>
        </w:tc>
        <w:tc>
          <w:tcPr>
            <w:tcW w:w="306" w:type="pct"/>
            <w:vMerge w:val="continue"/>
            <w:tcBorders>
              <w:top w:val="single" w:color="auto" w:sz="4" w:space="0"/>
              <w:left w:val="nil"/>
              <w:bottom w:val="single" w:color="auto" w:sz="4" w:space="0"/>
              <w:right w:val="single" w:color="auto" w:sz="4" w:space="0"/>
            </w:tcBorders>
            <w:noWrap/>
            <w:vAlign w:val="center"/>
          </w:tcPr>
          <w:p w14:paraId="30082CF5">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08EE7737">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良：配送及相关人员服务态度一般的得</w:t>
            </w:r>
            <w:r>
              <w:rPr>
                <w:rFonts w:hint="eastAsia" w:ascii="宋体" w:hAnsi="宋体" w:eastAsia="宋体" w:cs="宋体"/>
                <w:color w:val="auto"/>
                <w:sz w:val="22"/>
                <w:szCs w:val="22"/>
                <w:highlight w:val="none"/>
                <w:shd w:val="clear" w:color="auto" w:fill="auto"/>
                <w:lang w:val="en-US" w:eastAsia="zh-CN"/>
              </w:rPr>
              <w:t>4</w:t>
            </w:r>
            <w:r>
              <w:rPr>
                <w:rFonts w:hint="eastAsia" w:ascii="宋体" w:hAnsi="宋体" w:eastAsia="宋体" w:cs="宋体"/>
                <w:color w:val="auto"/>
                <w:sz w:val="22"/>
                <w:szCs w:val="22"/>
                <w:highlight w:val="none"/>
              </w:rPr>
              <w:t>分。</w:t>
            </w:r>
          </w:p>
        </w:tc>
        <w:tc>
          <w:tcPr>
            <w:tcW w:w="429" w:type="pct"/>
            <w:vMerge w:val="continue"/>
            <w:tcBorders>
              <w:top w:val="single" w:color="auto" w:sz="4" w:space="0"/>
              <w:left w:val="nil"/>
              <w:bottom w:val="single" w:color="auto" w:sz="4" w:space="0"/>
              <w:right w:val="single" w:color="auto" w:sz="4" w:space="0"/>
            </w:tcBorders>
            <w:noWrap/>
            <w:vAlign w:val="center"/>
          </w:tcPr>
          <w:p w14:paraId="6F0ADE5F">
            <w:pPr>
              <w:rPr>
                <w:rFonts w:hint="eastAsia" w:ascii="宋体" w:hAnsi="宋体" w:eastAsia="宋体" w:cs="宋体"/>
                <w:color w:val="auto"/>
                <w:sz w:val="22"/>
                <w:szCs w:val="22"/>
                <w:highlight w:val="none"/>
              </w:rPr>
            </w:pPr>
          </w:p>
        </w:tc>
        <w:tc>
          <w:tcPr>
            <w:tcW w:w="437" w:type="pct"/>
            <w:vMerge w:val="continue"/>
            <w:tcBorders>
              <w:top w:val="single" w:color="auto" w:sz="4" w:space="0"/>
              <w:left w:val="nil"/>
              <w:bottom w:val="single" w:color="auto" w:sz="4" w:space="0"/>
              <w:right w:val="single" w:color="auto" w:sz="4" w:space="0"/>
            </w:tcBorders>
            <w:noWrap/>
            <w:vAlign w:val="center"/>
          </w:tcPr>
          <w:p w14:paraId="651FAD8F">
            <w:pPr>
              <w:rPr>
                <w:rFonts w:hint="eastAsia" w:ascii="宋体" w:hAnsi="宋体" w:eastAsia="宋体" w:cs="宋体"/>
                <w:color w:val="auto"/>
                <w:sz w:val="22"/>
                <w:szCs w:val="22"/>
                <w:highlight w:val="none"/>
              </w:rPr>
            </w:pPr>
          </w:p>
        </w:tc>
      </w:tr>
      <w:tr w14:paraId="0037E077">
        <w:tblPrEx>
          <w:tblCellMar>
            <w:top w:w="0" w:type="dxa"/>
            <w:left w:w="108" w:type="dxa"/>
            <w:bottom w:w="0" w:type="dxa"/>
            <w:right w:w="108" w:type="dxa"/>
          </w:tblCellMar>
        </w:tblPrEx>
        <w:trPr>
          <w:trHeight w:val="554" w:hRule="atLeast"/>
        </w:trPr>
        <w:tc>
          <w:tcPr>
            <w:tcW w:w="343" w:type="pct"/>
            <w:vMerge w:val="continue"/>
            <w:tcBorders>
              <w:top w:val="single" w:color="auto" w:sz="4" w:space="0"/>
              <w:left w:val="single" w:color="auto" w:sz="4" w:space="0"/>
              <w:bottom w:val="single" w:color="auto" w:sz="4" w:space="0"/>
              <w:right w:val="single" w:color="auto" w:sz="4" w:space="0"/>
            </w:tcBorders>
            <w:noWrap/>
            <w:vAlign w:val="center"/>
          </w:tcPr>
          <w:p w14:paraId="749296CB">
            <w:pPr>
              <w:jc w:val="center"/>
              <w:rPr>
                <w:rFonts w:hint="eastAsia" w:ascii="宋体" w:hAnsi="宋体" w:eastAsia="宋体" w:cs="宋体"/>
                <w:color w:val="auto"/>
                <w:sz w:val="22"/>
                <w:szCs w:val="22"/>
                <w:highlight w:val="none"/>
              </w:rPr>
            </w:pPr>
          </w:p>
        </w:tc>
        <w:tc>
          <w:tcPr>
            <w:tcW w:w="861" w:type="pct"/>
            <w:vMerge w:val="continue"/>
            <w:tcBorders>
              <w:top w:val="single" w:color="auto" w:sz="4" w:space="0"/>
              <w:left w:val="nil"/>
              <w:bottom w:val="single" w:color="auto" w:sz="4" w:space="0"/>
              <w:right w:val="single" w:color="auto" w:sz="4" w:space="0"/>
            </w:tcBorders>
            <w:noWrap/>
            <w:vAlign w:val="center"/>
          </w:tcPr>
          <w:p w14:paraId="316A6DD8">
            <w:pPr>
              <w:jc w:val="center"/>
              <w:rPr>
                <w:rFonts w:hint="eastAsia" w:ascii="宋体" w:hAnsi="宋体" w:eastAsia="宋体" w:cs="宋体"/>
                <w:color w:val="auto"/>
                <w:sz w:val="22"/>
                <w:szCs w:val="22"/>
                <w:highlight w:val="none"/>
              </w:rPr>
            </w:pPr>
          </w:p>
        </w:tc>
        <w:tc>
          <w:tcPr>
            <w:tcW w:w="306" w:type="pct"/>
            <w:vMerge w:val="continue"/>
            <w:tcBorders>
              <w:top w:val="single" w:color="auto" w:sz="4" w:space="0"/>
              <w:left w:val="nil"/>
              <w:bottom w:val="single" w:color="auto" w:sz="4" w:space="0"/>
              <w:right w:val="single" w:color="auto" w:sz="4" w:space="0"/>
            </w:tcBorders>
            <w:noWrap/>
            <w:vAlign w:val="center"/>
          </w:tcPr>
          <w:p w14:paraId="36AB4BBC">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31901781">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良：配送及相关人员服务态度差的得0分。</w:t>
            </w:r>
          </w:p>
        </w:tc>
        <w:tc>
          <w:tcPr>
            <w:tcW w:w="429" w:type="pct"/>
            <w:vMerge w:val="continue"/>
            <w:tcBorders>
              <w:top w:val="single" w:color="auto" w:sz="4" w:space="0"/>
              <w:left w:val="nil"/>
              <w:bottom w:val="single" w:color="auto" w:sz="4" w:space="0"/>
              <w:right w:val="single" w:color="auto" w:sz="4" w:space="0"/>
            </w:tcBorders>
            <w:noWrap/>
            <w:vAlign w:val="center"/>
          </w:tcPr>
          <w:p w14:paraId="361B3950">
            <w:pPr>
              <w:rPr>
                <w:rFonts w:hint="eastAsia" w:ascii="宋体" w:hAnsi="宋体" w:eastAsia="宋体" w:cs="宋体"/>
                <w:color w:val="auto"/>
                <w:sz w:val="22"/>
                <w:szCs w:val="22"/>
                <w:highlight w:val="none"/>
              </w:rPr>
            </w:pPr>
          </w:p>
        </w:tc>
        <w:tc>
          <w:tcPr>
            <w:tcW w:w="437" w:type="pct"/>
            <w:vMerge w:val="continue"/>
            <w:tcBorders>
              <w:top w:val="single" w:color="auto" w:sz="4" w:space="0"/>
              <w:left w:val="nil"/>
              <w:bottom w:val="single" w:color="auto" w:sz="4" w:space="0"/>
              <w:right w:val="single" w:color="auto" w:sz="4" w:space="0"/>
            </w:tcBorders>
            <w:noWrap/>
            <w:vAlign w:val="center"/>
          </w:tcPr>
          <w:p w14:paraId="7815D353">
            <w:pPr>
              <w:rPr>
                <w:rFonts w:hint="eastAsia" w:ascii="宋体" w:hAnsi="宋体" w:eastAsia="宋体" w:cs="宋体"/>
                <w:color w:val="auto"/>
                <w:sz w:val="22"/>
                <w:szCs w:val="22"/>
                <w:highlight w:val="none"/>
              </w:rPr>
            </w:pPr>
          </w:p>
        </w:tc>
      </w:tr>
      <w:tr w14:paraId="75D0D0F6">
        <w:tblPrEx>
          <w:tblCellMar>
            <w:top w:w="0" w:type="dxa"/>
            <w:left w:w="108" w:type="dxa"/>
            <w:bottom w:w="0" w:type="dxa"/>
            <w:right w:w="108" w:type="dxa"/>
          </w:tblCellMar>
        </w:tblPrEx>
        <w:trPr>
          <w:trHeight w:val="554" w:hRule="atLeast"/>
        </w:trPr>
        <w:tc>
          <w:tcPr>
            <w:tcW w:w="343" w:type="pct"/>
            <w:vMerge w:val="restart"/>
            <w:tcBorders>
              <w:top w:val="single" w:color="auto" w:sz="4" w:space="0"/>
              <w:left w:val="single" w:color="auto" w:sz="4" w:space="0"/>
              <w:right w:val="single" w:color="auto" w:sz="4" w:space="0"/>
            </w:tcBorders>
            <w:noWrap w:val="0"/>
            <w:vAlign w:val="center"/>
          </w:tcPr>
          <w:p w14:paraId="3CA4C215">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12</w:t>
            </w:r>
          </w:p>
        </w:tc>
        <w:tc>
          <w:tcPr>
            <w:tcW w:w="861" w:type="pct"/>
            <w:vMerge w:val="restart"/>
            <w:tcBorders>
              <w:top w:val="single" w:color="auto" w:sz="4" w:space="0"/>
              <w:left w:val="nil"/>
              <w:right w:val="single" w:color="auto" w:sz="4" w:space="0"/>
            </w:tcBorders>
            <w:noWrap/>
            <w:vAlign w:val="center"/>
          </w:tcPr>
          <w:p w14:paraId="619B54FB">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配送标准</w:t>
            </w:r>
          </w:p>
        </w:tc>
        <w:tc>
          <w:tcPr>
            <w:tcW w:w="306" w:type="pct"/>
            <w:vMerge w:val="restart"/>
            <w:tcBorders>
              <w:top w:val="single" w:color="auto" w:sz="4" w:space="0"/>
              <w:left w:val="nil"/>
              <w:right w:val="single" w:color="auto" w:sz="4" w:space="0"/>
            </w:tcBorders>
            <w:noWrap/>
            <w:vAlign w:val="center"/>
          </w:tcPr>
          <w:p w14:paraId="2F651DAD">
            <w:pPr>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shd w:val="clear" w:color="auto" w:fill="auto"/>
                <w:lang w:val="en-US" w:eastAsia="zh-CN"/>
              </w:rPr>
              <w:t>8</w:t>
            </w:r>
          </w:p>
        </w:tc>
        <w:tc>
          <w:tcPr>
            <w:tcW w:w="2621" w:type="pct"/>
            <w:gridSpan w:val="2"/>
            <w:tcBorders>
              <w:top w:val="single" w:color="auto" w:sz="4" w:space="0"/>
              <w:left w:val="nil"/>
              <w:bottom w:val="single" w:color="auto" w:sz="4" w:space="0"/>
              <w:right w:val="single" w:color="auto" w:sz="4" w:space="0"/>
            </w:tcBorders>
            <w:noWrap w:val="0"/>
            <w:vAlign w:val="center"/>
          </w:tcPr>
          <w:p w14:paraId="5A84EED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w:t>
            </w:r>
            <w:r>
              <w:rPr>
                <w:rFonts w:hint="eastAsia" w:ascii="宋体" w:hAnsi="宋体" w:eastAsia="宋体" w:cs="宋体"/>
                <w:color w:val="auto"/>
                <w:sz w:val="22"/>
                <w:szCs w:val="22"/>
                <w:highlight w:val="none"/>
                <w:shd w:val="clear" w:color="auto" w:fill="auto"/>
                <w:lang w:val="en-US" w:eastAsia="zh-CN"/>
              </w:rPr>
              <w:t>按要求、</w:t>
            </w:r>
            <w:r>
              <w:rPr>
                <w:rFonts w:hint="eastAsia" w:ascii="宋体" w:hAnsi="宋体" w:eastAsia="宋体" w:cs="宋体"/>
                <w:color w:val="auto"/>
                <w:sz w:val="22"/>
                <w:szCs w:val="22"/>
                <w:highlight w:val="none"/>
              </w:rPr>
              <w:t>按规定时间把食材送达的</w:t>
            </w:r>
            <w:r>
              <w:rPr>
                <w:rFonts w:hint="eastAsia" w:ascii="宋体" w:hAnsi="宋体" w:eastAsia="宋体" w:cs="宋体"/>
                <w:color w:val="auto"/>
                <w:sz w:val="22"/>
                <w:szCs w:val="22"/>
                <w:highlight w:val="none"/>
                <w:shd w:val="clear" w:color="auto" w:fill="auto"/>
              </w:rPr>
              <w:t>得</w:t>
            </w:r>
            <w:r>
              <w:rPr>
                <w:rFonts w:hint="eastAsia" w:ascii="宋体" w:hAnsi="宋体" w:eastAsia="宋体" w:cs="宋体"/>
                <w:color w:val="auto"/>
                <w:sz w:val="22"/>
                <w:szCs w:val="22"/>
                <w:highlight w:val="none"/>
                <w:shd w:val="clear" w:color="auto" w:fill="auto"/>
                <w:lang w:val="en-US" w:eastAsia="zh-CN"/>
              </w:rPr>
              <w:t>8</w:t>
            </w:r>
            <w:r>
              <w:rPr>
                <w:rFonts w:hint="eastAsia" w:ascii="宋体" w:hAnsi="宋体" w:eastAsia="宋体" w:cs="宋体"/>
                <w:color w:val="auto"/>
                <w:sz w:val="22"/>
                <w:szCs w:val="22"/>
                <w:highlight w:val="none"/>
              </w:rPr>
              <w:t>分。</w:t>
            </w:r>
          </w:p>
        </w:tc>
        <w:tc>
          <w:tcPr>
            <w:tcW w:w="429" w:type="pct"/>
            <w:vMerge w:val="restart"/>
            <w:tcBorders>
              <w:top w:val="single" w:color="auto" w:sz="4" w:space="0"/>
              <w:left w:val="nil"/>
              <w:right w:val="single" w:color="auto" w:sz="4" w:space="0"/>
            </w:tcBorders>
            <w:noWrap/>
            <w:vAlign w:val="center"/>
          </w:tcPr>
          <w:p w14:paraId="3743104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437" w:type="pct"/>
            <w:vMerge w:val="restart"/>
            <w:tcBorders>
              <w:top w:val="single" w:color="auto" w:sz="4" w:space="0"/>
              <w:left w:val="nil"/>
              <w:right w:val="single" w:color="auto" w:sz="4" w:space="0"/>
            </w:tcBorders>
            <w:noWrap/>
            <w:vAlign w:val="center"/>
          </w:tcPr>
          <w:p w14:paraId="27CA7521">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6DBFD1D5">
        <w:tblPrEx>
          <w:tblCellMar>
            <w:top w:w="0" w:type="dxa"/>
            <w:left w:w="108" w:type="dxa"/>
            <w:bottom w:w="0" w:type="dxa"/>
            <w:right w:w="108" w:type="dxa"/>
          </w:tblCellMar>
        </w:tblPrEx>
        <w:trPr>
          <w:trHeight w:val="554" w:hRule="atLeast"/>
        </w:trPr>
        <w:tc>
          <w:tcPr>
            <w:tcW w:w="343" w:type="pct"/>
            <w:vMerge w:val="continue"/>
            <w:tcBorders>
              <w:top w:val="nil"/>
              <w:left w:val="single" w:color="auto" w:sz="4" w:space="0"/>
              <w:right w:val="single" w:color="auto" w:sz="4" w:space="0"/>
            </w:tcBorders>
            <w:noWrap w:val="0"/>
            <w:vAlign w:val="center"/>
          </w:tcPr>
          <w:p w14:paraId="4F8CD9B6">
            <w:pPr>
              <w:jc w:val="center"/>
              <w:rPr>
                <w:rFonts w:hint="eastAsia" w:ascii="宋体" w:hAnsi="宋体" w:eastAsia="宋体" w:cs="宋体"/>
                <w:color w:val="auto"/>
                <w:sz w:val="22"/>
                <w:szCs w:val="22"/>
                <w:highlight w:val="none"/>
              </w:rPr>
            </w:pPr>
          </w:p>
        </w:tc>
        <w:tc>
          <w:tcPr>
            <w:tcW w:w="861" w:type="pct"/>
            <w:vMerge w:val="continue"/>
            <w:tcBorders>
              <w:top w:val="nil"/>
              <w:left w:val="nil"/>
              <w:right w:val="single" w:color="auto" w:sz="4" w:space="0"/>
            </w:tcBorders>
            <w:noWrap/>
            <w:vAlign w:val="center"/>
          </w:tcPr>
          <w:p w14:paraId="7E326EF4">
            <w:pPr>
              <w:jc w:val="center"/>
              <w:rPr>
                <w:rFonts w:hint="eastAsia" w:ascii="宋体" w:hAnsi="宋体" w:eastAsia="宋体" w:cs="宋体"/>
                <w:color w:val="auto"/>
                <w:sz w:val="22"/>
                <w:szCs w:val="22"/>
                <w:highlight w:val="none"/>
              </w:rPr>
            </w:pPr>
          </w:p>
        </w:tc>
        <w:tc>
          <w:tcPr>
            <w:tcW w:w="306" w:type="pct"/>
            <w:vMerge w:val="continue"/>
            <w:tcBorders>
              <w:top w:val="nil"/>
              <w:left w:val="nil"/>
              <w:right w:val="single" w:color="auto" w:sz="4" w:space="0"/>
            </w:tcBorders>
            <w:noWrap/>
            <w:vAlign w:val="center"/>
          </w:tcPr>
          <w:p w14:paraId="5FBBB0D9">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24B7E805">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w:t>
            </w:r>
            <w:r>
              <w:rPr>
                <w:rFonts w:hint="eastAsia" w:ascii="宋体" w:hAnsi="宋体" w:eastAsia="宋体" w:cs="宋体"/>
                <w:color w:val="auto"/>
                <w:sz w:val="22"/>
                <w:szCs w:val="22"/>
                <w:highlight w:val="none"/>
                <w:shd w:val="clear" w:color="auto" w:fill="auto"/>
                <w:lang w:val="en-US" w:eastAsia="zh-CN"/>
              </w:rPr>
              <w:t>不按要求、</w:t>
            </w:r>
            <w:r>
              <w:rPr>
                <w:rFonts w:hint="eastAsia" w:ascii="宋体" w:hAnsi="宋体" w:eastAsia="宋体" w:cs="宋体"/>
                <w:color w:val="auto"/>
                <w:sz w:val="22"/>
                <w:szCs w:val="22"/>
                <w:highlight w:val="none"/>
              </w:rPr>
              <w:t>配送不准时的得</w:t>
            </w:r>
            <w:r>
              <w:rPr>
                <w:rFonts w:hint="eastAsia" w:ascii="宋体" w:hAnsi="宋体" w:eastAsia="宋体" w:cs="宋体"/>
                <w:color w:val="auto"/>
                <w:sz w:val="22"/>
                <w:szCs w:val="22"/>
                <w:highlight w:val="none"/>
                <w:shd w:val="clear" w:color="auto" w:fill="auto"/>
                <w:lang w:val="en-US" w:eastAsia="zh-CN"/>
              </w:rPr>
              <w:t>4</w:t>
            </w:r>
            <w:r>
              <w:rPr>
                <w:rFonts w:hint="eastAsia" w:ascii="宋体" w:hAnsi="宋体" w:eastAsia="宋体" w:cs="宋体"/>
                <w:color w:val="auto"/>
                <w:sz w:val="22"/>
                <w:szCs w:val="22"/>
                <w:highlight w:val="none"/>
              </w:rPr>
              <w:t>分。</w:t>
            </w:r>
          </w:p>
        </w:tc>
        <w:tc>
          <w:tcPr>
            <w:tcW w:w="429" w:type="pct"/>
            <w:vMerge w:val="continue"/>
            <w:tcBorders>
              <w:top w:val="nil"/>
              <w:left w:val="nil"/>
              <w:right w:val="single" w:color="auto" w:sz="4" w:space="0"/>
            </w:tcBorders>
            <w:noWrap/>
            <w:vAlign w:val="center"/>
          </w:tcPr>
          <w:p w14:paraId="02B4A29F">
            <w:pPr>
              <w:rPr>
                <w:rFonts w:hint="eastAsia" w:ascii="宋体" w:hAnsi="宋体" w:eastAsia="宋体" w:cs="宋体"/>
                <w:color w:val="auto"/>
                <w:sz w:val="22"/>
                <w:szCs w:val="22"/>
                <w:highlight w:val="none"/>
              </w:rPr>
            </w:pPr>
          </w:p>
        </w:tc>
        <w:tc>
          <w:tcPr>
            <w:tcW w:w="437" w:type="pct"/>
            <w:vMerge w:val="continue"/>
            <w:tcBorders>
              <w:top w:val="nil"/>
              <w:left w:val="nil"/>
              <w:right w:val="single" w:color="auto" w:sz="4" w:space="0"/>
            </w:tcBorders>
            <w:noWrap/>
            <w:vAlign w:val="center"/>
          </w:tcPr>
          <w:p w14:paraId="2BD0F4DD">
            <w:pPr>
              <w:rPr>
                <w:rFonts w:hint="eastAsia" w:ascii="宋体" w:hAnsi="宋体" w:eastAsia="宋体" w:cs="宋体"/>
                <w:color w:val="auto"/>
                <w:sz w:val="22"/>
                <w:szCs w:val="22"/>
                <w:highlight w:val="none"/>
              </w:rPr>
            </w:pPr>
          </w:p>
        </w:tc>
      </w:tr>
      <w:tr w14:paraId="272E04BD">
        <w:tblPrEx>
          <w:tblCellMar>
            <w:top w:w="0" w:type="dxa"/>
            <w:left w:w="108" w:type="dxa"/>
            <w:bottom w:w="0" w:type="dxa"/>
            <w:right w:w="108" w:type="dxa"/>
          </w:tblCellMar>
        </w:tblPrEx>
        <w:trPr>
          <w:trHeight w:val="554" w:hRule="atLeast"/>
        </w:trPr>
        <w:tc>
          <w:tcPr>
            <w:tcW w:w="343" w:type="pct"/>
            <w:vMerge w:val="continue"/>
            <w:tcBorders>
              <w:left w:val="single" w:color="auto" w:sz="4" w:space="0"/>
              <w:bottom w:val="single" w:color="auto" w:sz="4" w:space="0"/>
              <w:right w:val="single" w:color="auto" w:sz="4" w:space="0"/>
            </w:tcBorders>
            <w:noWrap w:val="0"/>
            <w:vAlign w:val="center"/>
          </w:tcPr>
          <w:p w14:paraId="112BE1E6">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6989474B">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12B2578E">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744F856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差：未按要求把食材送达指定地点的0分。</w:t>
            </w:r>
          </w:p>
        </w:tc>
        <w:tc>
          <w:tcPr>
            <w:tcW w:w="429" w:type="pct"/>
            <w:vMerge w:val="continue"/>
            <w:tcBorders>
              <w:left w:val="nil"/>
              <w:bottom w:val="single" w:color="auto" w:sz="4" w:space="0"/>
              <w:right w:val="single" w:color="auto" w:sz="4" w:space="0"/>
            </w:tcBorders>
            <w:noWrap/>
            <w:vAlign w:val="center"/>
          </w:tcPr>
          <w:p w14:paraId="4256E638">
            <w:pP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3E100C3E">
            <w:pPr>
              <w:rPr>
                <w:rFonts w:hint="eastAsia" w:ascii="宋体" w:hAnsi="宋体" w:eastAsia="宋体" w:cs="宋体"/>
                <w:color w:val="auto"/>
                <w:sz w:val="22"/>
                <w:szCs w:val="22"/>
                <w:highlight w:val="none"/>
              </w:rPr>
            </w:pPr>
          </w:p>
        </w:tc>
      </w:tr>
      <w:tr w14:paraId="07C5653D">
        <w:tblPrEx>
          <w:tblCellMar>
            <w:top w:w="0" w:type="dxa"/>
            <w:left w:w="108" w:type="dxa"/>
            <w:bottom w:w="0" w:type="dxa"/>
            <w:right w:w="108" w:type="dxa"/>
          </w:tblCellMar>
        </w:tblPrEx>
        <w:trPr>
          <w:trHeight w:val="554" w:hRule="atLeast"/>
        </w:trPr>
        <w:tc>
          <w:tcPr>
            <w:tcW w:w="343" w:type="pct"/>
            <w:vMerge w:val="restart"/>
            <w:tcBorders>
              <w:top w:val="nil"/>
              <w:left w:val="single" w:color="auto" w:sz="4" w:space="0"/>
              <w:right w:val="single" w:color="auto" w:sz="4" w:space="0"/>
            </w:tcBorders>
            <w:noWrap w:val="0"/>
            <w:vAlign w:val="center"/>
          </w:tcPr>
          <w:p w14:paraId="68E72B03">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w:t>
            </w:r>
          </w:p>
        </w:tc>
        <w:tc>
          <w:tcPr>
            <w:tcW w:w="861" w:type="pct"/>
            <w:vMerge w:val="restart"/>
            <w:tcBorders>
              <w:top w:val="nil"/>
              <w:left w:val="nil"/>
              <w:right w:val="single" w:color="auto" w:sz="4" w:space="0"/>
            </w:tcBorders>
            <w:noWrap/>
            <w:vAlign w:val="center"/>
          </w:tcPr>
          <w:p w14:paraId="0633D81D">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需求调整</w:t>
            </w:r>
          </w:p>
        </w:tc>
        <w:tc>
          <w:tcPr>
            <w:tcW w:w="306" w:type="pct"/>
            <w:vMerge w:val="restart"/>
            <w:tcBorders>
              <w:top w:val="nil"/>
              <w:left w:val="nil"/>
              <w:right w:val="single" w:color="auto" w:sz="4" w:space="0"/>
            </w:tcBorders>
            <w:noWrap/>
            <w:vAlign w:val="center"/>
          </w:tcPr>
          <w:p w14:paraId="4C2026BA">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21" w:type="pct"/>
            <w:gridSpan w:val="2"/>
            <w:tcBorders>
              <w:top w:val="nil"/>
              <w:left w:val="nil"/>
              <w:bottom w:val="single" w:color="auto" w:sz="4" w:space="0"/>
              <w:right w:val="single" w:color="auto" w:sz="4" w:space="0"/>
            </w:tcBorders>
            <w:noWrap w:val="0"/>
            <w:vAlign w:val="center"/>
          </w:tcPr>
          <w:p w14:paraId="157A58D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优：接收临时要求增加配送食材的得6分。</w:t>
            </w:r>
          </w:p>
        </w:tc>
        <w:tc>
          <w:tcPr>
            <w:tcW w:w="429" w:type="pct"/>
            <w:vMerge w:val="restart"/>
            <w:tcBorders>
              <w:top w:val="nil"/>
              <w:left w:val="nil"/>
              <w:right w:val="single" w:color="auto" w:sz="4" w:space="0"/>
            </w:tcBorders>
            <w:noWrap/>
            <w:vAlign w:val="center"/>
          </w:tcPr>
          <w:p w14:paraId="3D42327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437" w:type="pct"/>
            <w:vMerge w:val="restart"/>
            <w:tcBorders>
              <w:top w:val="nil"/>
              <w:left w:val="nil"/>
              <w:right w:val="single" w:color="auto" w:sz="4" w:space="0"/>
            </w:tcBorders>
            <w:noWrap/>
            <w:vAlign w:val="center"/>
          </w:tcPr>
          <w:p w14:paraId="2C61F531">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7FF1D4E6">
        <w:tblPrEx>
          <w:tblCellMar>
            <w:top w:w="0" w:type="dxa"/>
            <w:left w:w="108" w:type="dxa"/>
            <w:bottom w:w="0" w:type="dxa"/>
            <w:right w:w="108" w:type="dxa"/>
          </w:tblCellMar>
        </w:tblPrEx>
        <w:trPr>
          <w:trHeight w:val="554" w:hRule="atLeast"/>
        </w:trPr>
        <w:tc>
          <w:tcPr>
            <w:tcW w:w="343" w:type="pct"/>
            <w:vMerge w:val="continue"/>
            <w:tcBorders>
              <w:left w:val="single" w:color="auto" w:sz="4" w:space="0"/>
              <w:right w:val="single" w:color="auto" w:sz="4" w:space="0"/>
            </w:tcBorders>
            <w:noWrap w:val="0"/>
            <w:vAlign w:val="center"/>
          </w:tcPr>
          <w:p w14:paraId="2EB4328B">
            <w:pPr>
              <w:jc w:val="center"/>
              <w:rPr>
                <w:rFonts w:hint="eastAsia" w:ascii="宋体" w:hAnsi="宋体" w:eastAsia="宋体" w:cs="宋体"/>
                <w:color w:val="auto"/>
                <w:sz w:val="22"/>
                <w:szCs w:val="22"/>
                <w:highlight w:val="none"/>
              </w:rPr>
            </w:pPr>
          </w:p>
        </w:tc>
        <w:tc>
          <w:tcPr>
            <w:tcW w:w="861" w:type="pct"/>
            <w:vMerge w:val="continue"/>
            <w:tcBorders>
              <w:left w:val="nil"/>
              <w:right w:val="single" w:color="auto" w:sz="4" w:space="0"/>
            </w:tcBorders>
            <w:noWrap/>
            <w:vAlign w:val="center"/>
          </w:tcPr>
          <w:p w14:paraId="5E39CB5E">
            <w:pPr>
              <w:jc w:val="center"/>
              <w:rPr>
                <w:rFonts w:hint="eastAsia" w:ascii="宋体" w:hAnsi="宋体" w:eastAsia="宋体" w:cs="宋体"/>
                <w:color w:val="auto"/>
                <w:sz w:val="22"/>
                <w:szCs w:val="22"/>
                <w:highlight w:val="none"/>
              </w:rPr>
            </w:pPr>
          </w:p>
        </w:tc>
        <w:tc>
          <w:tcPr>
            <w:tcW w:w="306" w:type="pct"/>
            <w:vMerge w:val="continue"/>
            <w:tcBorders>
              <w:left w:val="nil"/>
              <w:right w:val="single" w:color="auto" w:sz="4" w:space="0"/>
            </w:tcBorders>
            <w:noWrap/>
            <w:vAlign w:val="center"/>
          </w:tcPr>
          <w:p w14:paraId="2EF88AA2">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4F93F0A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良：有时按要求退、换、补食材的得3分。</w:t>
            </w:r>
          </w:p>
        </w:tc>
        <w:tc>
          <w:tcPr>
            <w:tcW w:w="429" w:type="pct"/>
            <w:vMerge w:val="continue"/>
            <w:tcBorders>
              <w:left w:val="nil"/>
              <w:right w:val="single" w:color="auto" w:sz="4" w:space="0"/>
            </w:tcBorders>
            <w:noWrap/>
            <w:vAlign w:val="center"/>
          </w:tcPr>
          <w:p w14:paraId="413EBFB3">
            <w:pPr>
              <w:rPr>
                <w:rFonts w:hint="eastAsia" w:ascii="宋体" w:hAnsi="宋体" w:eastAsia="宋体" w:cs="宋体"/>
                <w:color w:val="auto"/>
                <w:sz w:val="22"/>
                <w:szCs w:val="22"/>
                <w:highlight w:val="none"/>
              </w:rPr>
            </w:pPr>
          </w:p>
        </w:tc>
        <w:tc>
          <w:tcPr>
            <w:tcW w:w="437" w:type="pct"/>
            <w:vMerge w:val="continue"/>
            <w:tcBorders>
              <w:left w:val="nil"/>
              <w:right w:val="single" w:color="auto" w:sz="4" w:space="0"/>
            </w:tcBorders>
            <w:noWrap/>
            <w:vAlign w:val="center"/>
          </w:tcPr>
          <w:p w14:paraId="104521A7">
            <w:pPr>
              <w:rPr>
                <w:rFonts w:hint="eastAsia" w:ascii="宋体" w:hAnsi="宋体" w:eastAsia="宋体" w:cs="宋体"/>
                <w:color w:val="auto"/>
                <w:sz w:val="22"/>
                <w:szCs w:val="22"/>
                <w:highlight w:val="none"/>
              </w:rPr>
            </w:pPr>
          </w:p>
        </w:tc>
      </w:tr>
      <w:tr w14:paraId="2C162221">
        <w:tblPrEx>
          <w:tblCellMar>
            <w:top w:w="0" w:type="dxa"/>
            <w:left w:w="108" w:type="dxa"/>
            <w:bottom w:w="0" w:type="dxa"/>
            <w:right w:w="108" w:type="dxa"/>
          </w:tblCellMar>
        </w:tblPrEx>
        <w:trPr>
          <w:trHeight w:val="1090" w:hRule="atLeast"/>
        </w:trPr>
        <w:tc>
          <w:tcPr>
            <w:tcW w:w="343" w:type="pct"/>
            <w:vMerge w:val="continue"/>
            <w:tcBorders>
              <w:left w:val="single" w:color="auto" w:sz="4" w:space="0"/>
              <w:bottom w:val="single" w:color="auto" w:sz="4" w:space="0"/>
              <w:right w:val="single" w:color="auto" w:sz="4" w:space="0"/>
            </w:tcBorders>
            <w:noWrap w:val="0"/>
            <w:vAlign w:val="center"/>
          </w:tcPr>
          <w:p w14:paraId="115D8A10">
            <w:pPr>
              <w:jc w:val="cente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37ED8EDB">
            <w:pPr>
              <w:jc w:val="cente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2D798CAC">
            <w:pPr>
              <w:jc w:val="center"/>
              <w:rPr>
                <w:rFonts w:hint="eastAsia" w:ascii="宋体" w:hAnsi="宋体" w:eastAsia="宋体" w:cs="宋体"/>
                <w:color w:val="auto"/>
                <w:sz w:val="22"/>
                <w:szCs w:val="22"/>
                <w:highlight w:val="none"/>
              </w:rPr>
            </w:pPr>
          </w:p>
        </w:tc>
        <w:tc>
          <w:tcPr>
            <w:tcW w:w="2621" w:type="pct"/>
            <w:gridSpan w:val="2"/>
            <w:tcBorders>
              <w:top w:val="single" w:color="auto" w:sz="4" w:space="0"/>
              <w:left w:val="nil"/>
              <w:bottom w:val="single" w:color="auto" w:sz="4" w:space="0"/>
              <w:right w:val="single" w:color="auto" w:sz="4" w:space="0"/>
            </w:tcBorders>
            <w:noWrap w:val="0"/>
            <w:vAlign w:val="center"/>
          </w:tcPr>
          <w:p w14:paraId="6836A6A4">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差：不接受临时要求按时、按质、按量配送食材的得0分。</w:t>
            </w:r>
          </w:p>
        </w:tc>
        <w:tc>
          <w:tcPr>
            <w:tcW w:w="429" w:type="pct"/>
            <w:vMerge w:val="continue"/>
            <w:tcBorders>
              <w:left w:val="nil"/>
              <w:bottom w:val="single" w:color="auto" w:sz="4" w:space="0"/>
              <w:right w:val="single" w:color="auto" w:sz="4" w:space="0"/>
            </w:tcBorders>
            <w:noWrap/>
            <w:vAlign w:val="center"/>
          </w:tcPr>
          <w:p w14:paraId="4B8EC6DC">
            <w:pP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47290456">
            <w:pPr>
              <w:rPr>
                <w:rFonts w:hint="eastAsia" w:ascii="宋体" w:hAnsi="宋体" w:eastAsia="宋体" w:cs="宋体"/>
                <w:color w:val="auto"/>
                <w:sz w:val="22"/>
                <w:szCs w:val="22"/>
                <w:highlight w:val="none"/>
              </w:rPr>
            </w:pPr>
          </w:p>
        </w:tc>
      </w:tr>
      <w:tr w14:paraId="646E4018">
        <w:tblPrEx>
          <w:tblCellMar>
            <w:top w:w="0" w:type="dxa"/>
            <w:left w:w="108" w:type="dxa"/>
            <w:bottom w:w="0" w:type="dxa"/>
            <w:right w:w="108" w:type="dxa"/>
          </w:tblCellMar>
        </w:tblPrEx>
        <w:trPr>
          <w:trHeight w:val="1405" w:hRule="atLeast"/>
        </w:trPr>
        <w:tc>
          <w:tcPr>
            <w:tcW w:w="343" w:type="pct"/>
            <w:tcBorders>
              <w:top w:val="nil"/>
              <w:left w:val="single" w:color="auto" w:sz="4" w:space="0"/>
              <w:bottom w:val="single" w:color="auto" w:sz="4" w:space="0"/>
              <w:right w:val="single" w:color="auto" w:sz="4" w:space="0"/>
            </w:tcBorders>
            <w:noWrap w:val="0"/>
            <w:vAlign w:val="center"/>
          </w:tcPr>
          <w:p w14:paraId="75FDA792">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14</w:t>
            </w:r>
          </w:p>
        </w:tc>
        <w:tc>
          <w:tcPr>
            <w:tcW w:w="861" w:type="pct"/>
            <w:tcBorders>
              <w:top w:val="nil"/>
              <w:left w:val="nil"/>
              <w:bottom w:val="single" w:color="auto" w:sz="4" w:space="0"/>
              <w:right w:val="single" w:color="auto" w:sz="4" w:space="0"/>
            </w:tcBorders>
            <w:noWrap/>
            <w:vAlign w:val="center"/>
          </w:tcPr>
          <w:p w14:paraId="353685BC">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食材价格</w:t>
            </w:r>
          </w:p>
        </w:tc>
        <w:tc>
          <w:tcPr>
            <w:tcW w:w="306" w:type="pct"/>
            <w:tcBorders>
              <w:top w:val="nil"/>
              <w:left w:val="nil"/>
              <w:bottom w:val="single" w:color="auto" w:sz="4" w:space="0"/>
              <w:right w:val="single" w:color="auto" w:sz="4" w:space="0"/>
            </w:tcBorders>
            <w:noWrap/>
            <w:vAlign w:val="center"/>
          </w:tcPr>
          <w:p w14:paraId="48AA2D88">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621" w:type="pct"/>
            <w:gridSpan w:val="2"/>
            <w:tcBorders>
              <w:top w:val="nil"/>
              <w:left w:val="nil"/>
              <w:bottom w:val="single" w:color="auto" w:sz="4" w:space="0"/>
              <w:right w:val="single" w:color="auto" w:sz="4" w:space="0"/>
            </w:tcBorders>
            <w:noWrap w:val="0"/>
            <w:vAlign w:val="center"/>
          </w:tcPr>
          <w:p w14:paraId="17AE2E5C">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出现食材价格不按合同供货价或双方协定价格的，扣5分。</w:t>
            </w:r>
          </w:p>
        </w:tc>
        <w:tc>
          <w:tcPr>
            <w:tcW w:w="429" w:type="pct"/>
            <w:tcBorders>
              <w:top w:val="nil"/>
              <w:left w:val="nil"/>
              <w:bottom w:val="single" w:color="auto" w:sz="4" w:space="0"/>
              <w:right w:val="single" w:color="auto" w:sz="4" w:space="0"/>
            </w:tcBorders>
            <w:noWrap/>
            <w:vAlign w:val="center"/>
          </w:tcPr>
          <w:p w14:paraId="4554DAD5">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437" w:type="pct"/>
            <w:tcBorders>
              <w:top w:val="nil"/>
              <w:left w:val="nil"/>
              <w:bottom w:val="single" w:color="auto" w:sz="4" w:space="0"/>
              <w:right w:val="single" w:color="auto" w:sz="4" w:space="0"/>
            </w:tcBorders>
            <w:noWrap/>
            <w:vAlign w:val="center"/>
          </w:tcPr>
          <w:p w14:paraId="18728B07">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4DA5589C">
        <w:tblPrEx>
          <w:tblCellMar>
            <w:top w:w="0" w:type="dxa"/>
            <w:left w:w="108" w:type="dxa"/>
            <w:bottom w:w="0" w:type="dxa"/>
            <w:right w:w="108" w:type="dxa"/>
          </w:tblCellMar>
        </w:tblPrEx>
        <w:trPr>
          <w:trHeight w:val="629" w:hRule="atLeast"/>
        </w:trPr>
        <w:tc>
          <w:tcPr>
            <w:tcW w:w="343" w:type="pct"/>
            <w:vMerge w:val="restart"/>
            <w:tcBorders>
              <w:top w:val="nil"/>
              <w:left w:val="single" w:color="auto" w:sz="4" w:space="0"/>
              <w:right w:val="single" w:color="auto" w:sz="4" w:space="0"/>
            </w:tcBorders>
            <w:noWrap w:val="0"/>
            <w:vAlign w:val="center"/>
          </w:tcPr>
          <w:p w14:paraId="5B82B55F">
            <w:pPr>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15</w:t>
            </w:r>
          </w:p>
        </w:tc>
        <w:tc>
          <w:tcPr>
            <w:tcW w:w="861" w:type="pct"/>
            <w:vMerge w:val="restart"/>
            <w:tcBorders>
              <w:top w:val="nil"/>
              <w:left w:val="nil"/>
              <w:right w:val="single" w:color="auto" w:sz="4" w:space="0"/>
            </w:tcBorders>
            <w:noWrap/>
            <w:vAlign w:val="center"/>
          </w:tcPr>
          <w:p w14:paraId="7EEA3C4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食材验收</w:t>
            </w:r>
          </w:p>
        </w:tc>
        <w:tc>
          <w:tcPr>
            <w:tcW w:w="306" w:type="pct"/>
            <w:vMerge w:val="restart"/>
            <w:tcBorders>
              <w:top w:val="nil"/>
              <w:left w:val="nil"/>
              <w:right w:val="single" w:color="auto" w:sz="4" w:space="0"/>
            </w:tcBorders>
            <w:noWrap/>
            <w:vAlign w:val="center"/>
          </w:tcPr>
          <w:p w14:paraId="268AB77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621" w:type="pct"/>
            <w:gridSpan w:val="2"/>
            <w:tcBorders>
              <w:top w:val="nil"/>
              <w:left w:val="nil"/>
              <w:bottom w:val="single" w:color="auto" w:sz="4" w:space="0"/>
              <w:right w:val="single" w:color="auto" w:sz="4" w:space="0"/>
            </w:tcBorders>
            <w:noWrap w:val="0"/>
            <w:vAlign w:val="center"/>
          </w:tcPr>
          <w:p w14:paraId="3A08E77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不配合、不按流程进行食材验收的，扣5分。</w:t>
            </w:r>
          </w:p>
        </w:tc>
        <w:tc>
          <w:tcPr>
            <w:tcW w:w="429" w:type="pct"/>
            <w:vMerge w:val="restart"/>
            <w:tcBorders>
              <w:top w:val="nil"/>
              <w:left w:val="nil"/>
              <w:right w:val="single" w:color="auto" w:sz="4" w:space="0"/>
            </w:tcBorders>
            <w:noWrap/>
            <w:vAlign w:val="center"/>
          </w:tcPr>
          <w:p w14:paraId="74B1D82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437" w:type="pct"/>
            <w:vMerge w:val="restart"/>
            <w:tcBorders>
              <w:top w:val="nil"/>
              <w:left w:val="nil"/>
              <w:right w:val="single" w:color="auto" w:sz="4" w:space="0"/>
            </w:tcBorders>
            <w:noWrap/>
            <w:vAlign w:val="center"/>
          </w:tcPr>
          <w:p w14:paraId="0BF6D27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75EAC56A">
        <w:tblPrEx>
          <w:tblCellMar>
            <w:top w:w="0" w:type="dxa"/>
            <w:left w:w="108" w:type="dxa"/>
            <w:bottom w:w="0" w:type="dxa"/>
            <w:right w:w="108" w:type="dxa"/>
          </w:tblCellMar>
        </w:tblPrEx>
        <w:trPr>
          <w:trHeight w:val="629" w:hRule="atLeast"/>
        </w:trPr>
        <w:tc>
          <w:tcPr>
            <w:tcW w:w="343" w:type="pct"/>
            <w:vMerge w:val="continue"/>
            <w:tcBorders>
              <w:left w:val="single" w:color="auto" w:sz="4" w:space="0"/>
              <w:bottom w:val="single" w:color="auto" w:sz="4" w:space="0"/>
              <w:right w:val="single" w:color="auto" w:sz="4" w:space="0"/>
            </w:tcBorders>
            <w:noWrap w:val="0"/>
            <w:vAlign w:val="center"/>
          </w:tcPr>
          <w:p w14:paraId="3B43603F">
            <w:pPr>
              <w:rPr>
                <w:rFonts w:hint="eastAsia" w:ascii="宋体" w:hAnsi="宋体" w:eastAsia="宋体" w:cs="宋体"/>
                <w:color w:val="auto"/>
                <w:sz w:val="22"/>
                <w:szCs w:val="22"/>
                <w:highlight w:val="none"/>
              </w:rPr>
            </w:pPr>
          </w:p>
        </w:tc>
        <w:tc>
          <w:tcPr>
            <w:tcW w:w="861" w:type="pct"/>
            <w:vMerge w:val="continue"/>
            <w:tcBorders>
              <w:left w:val="nil"/>
              <w:bottom w:val="single" w:color="auto" w:sz="4" w:space="0"/>
              <w:right w:val="single" w:color="auto" w:sz="4" w:space="0"/>
            </w:tcBorders>
            <w:noWrap/>
            <w:vAlign w:val="center"/>
          </w:tcPr>
          <w:p w14:paraId="6662DB98">
            <w:pPr>
              <w:rPr>
                <w:rFonts w:hint="eastAsia" w:ascii="宋体" w:hAnsi="宋体" w:eastAsia="宋体" w:cs="宋体"/>
                <w:color w:val="auto"/>
                <w:sz w:val="22"/>
                <w:szCs w:val="22"/>
                <w:highlight w:val="none"/>
              </w:rPr>
            </w:pPr>
          </w:p>
        </w:tc>
        <w:tc>
          <w:tcPr>
            <w:tcW w:w="306" w:type="pct"/>
            <w:vMerge w:val="continue"/>
            <w:tcBorders>
              <w:left w:val="nil"/>
              <w:bottom w:val="single" w:color="auto" w:sz="4" w:space="0"/>
              <w:right w:val="single" w:color="auto" w:sz="4" w:space="0"/>
            </w:tcBorders>
            <w:noWrap/>
            <w:vAlign w:val="center"/>
          </w:tcPr>
          <w:p w14:paraId="00AB1E2D">
            <w:pPr>
              <w:rPr>
                <w:rFonts w:hint="eastAsia" w:ascii="宋体" w:hAnsi="宋体" w:eastAsia="宋体" w:cs="宋体"/>
                <w:color w:val="auto"/>
                <w:sz w:val="22"/>
                <w:szCs w:val="22"/>
                <w:highlight w:val="none"/>
              </w:rPr>
            </w:pPr>
          </w:p>
        </w:tc>
        <w:tc>
          <w:tcPr>
            <w:tcW w:w="2621" w:type="pct"/>
            <w:gridSpan w:val="2"/>
            <w:tcBorders>
              <w:top w:val="nil"/>
              <w:left w:val="nil"/>
              <w:bottom w:val="single" w:color="auto" w:sz="4" w:space="0"/>
              <w:right w:val="single" w:color="auto" w:sz="4" w:space="0"/>
            </w:tcBorders>
            <w:noWrap w:val="0"/>
            <w:vAlign w:val="center"/>
          </w:tcPr>
          <w:p w14:paraId="1778C19A">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不配合、不按流程进行食材验收的，扣5分。</w:t>
            </w:r>
          </w:p>
        </w:tc>
        <w:tc>
          <w:tcPr>
            <w:tcW w:w="429" w:type="pct"/>
            <w:vMerge w:val="continue"/>
            <w:tcBorders>
              <w:left w:val="nil"/>
              <w:bottom w:val="single" w:color="auto" w:sz="4" w:space="0"/>
              <w:right w:val="single" w:color="auto" w:sz="4" w:space="0"/>
            </w:tcBorders>
            <w:noWrap/>
            <w:vAlign w:val="center"/>
          </w:tcPr>
          <w:p w14:paraId="0ADB4740">
            <w:pPr>
              <w:rPr>
                <w:rFonts w:hint="eastAsia" w:ascii="宋体" w:hAnsi="宋体" w:eastAsia="宋体" w:cs="宋体"/>
                <w:color w:val="auto"/>
                <w:sz w:val="22"/>
                <w:szCs w:val="22"/>
                <w:highlight w:val="none"/>
              </w:rPr>
            </w:pPr>
          </w:p>
        </w:tc>
        <w:tc>
          <w:tcPr>
            <w:tcW w:w="437" w:type="pct"/>
            <w:vMerge w:val="continue"/>
            <w:tcBorders>
              <w:left w:val="nil"/>
              <w:bottom w:val="single" w:color="auto" w:sz="4" w:space="0"/>
              <w:right w:val="single" w:color="auto" w:sz="4" w:space="0"/>
            </w:tcBorders>
            <w:noWrap/>
            <w:vAlign w:val="center"/>
          </w:tcPr>
          <w:p w14:paraId="6C364B23">
            <w:pPr>
              <w:rPr>
                <w:rFonts w:hint="eastAsia" w:ascii="宋体" w:hAnsi="宋体" w:eastAsia="宋体" w:cs="宋体"/>
                <w:color w:val="auto"/>
                <w:sz w:val="22"/>
                <w:szCs w:val="22"/>
                <w:highlight w:val="none"/>
              </w:rPr>
            </w:pPr>
          </w:p>
        </w:tc>
      </w:tr>
      <w:tr w14:paraId="2408F012">
        <w:tblPrEx>
          <w:tblCellMar>
            <w:top w:w="0" w:type="dxa"/>
            <w:left w:w="108" w:type="dxa"/>
            <w:bottom w:w="0" w:type="dxa"/>
            <w:right w:w="108" w:type="dxa"/>
          </w:tblCellMar>
        </w:tblPrEx>
        <w:trPr>
          <w:trHeight w:val="1059" w:hRule="atLeast"/>
        </w:trPr>
        <w:tc>
          <w:tcPr>
            <w:tcW w:w="1511" w:type="pct"/>
            <w:gridSpan w:val="3"/>
            <w:tcBorders>
              <w:top w:val="nil"/>
              <w:left w:val="single" w:color="auto" w:sz="4" w:space="0"/>
              <w:bottom w:val="single" w:color="auto" w:sz="4" w:space="0"/>
              <w:right w:val="single" w:color="auto" w:sz="4" w:space="0"/>
            </w:tcBorders>
            <w:noWrap/>
            <w:vAlign w:val="center"/>
          </w:tcPr>
          <w:p w14:paraId="3CEEF15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p w14:paraId="6F0531F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满分（共100分）</w:t>
            </w:r>
          </w:p>
          <w:p w14:paraId="1E19ADD4">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c>
          <w:tcPr>
            <w:tcW w:w="2621" w:type="pct"/>
            <w:gridSpan w:val="2"/>
            <w:tcBorders>
              <w:top w:val="nil"/>
              <w:left w:val="nil"/>
              <w:bottom w:val="single" w:color="auto" w:sz="4" w:space="0"/>
              <w:right w:val="single" w:color="auto" w:sz="4" w:space="0"/>
            </w:tcBorders>
            <w:noWrap/>
            <w:vAlign w:val="center"/>
          </w:tcPr>
          <w:p w14:paraId="6E58C619">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合计得分：</w:t>
            </w:r>
          </w:p>
        </w:tc>
        <w:tc>
          <w:tcPr>
            <w:tcW w:w="866" w:type="pct"/>
            <w:gridSpan w:val="2"/>
            <w:tcBorders>
              <w:top w:val="single" w:color="auto" w:sz="4" w:space="0"/>
              <w:left w:val="single" w:color="auto" w:sz="4" w:space="0"/>
              <w:bottom w:val="single" w:color="auto" w:sz="4" w:space="0"/>
              <w:right w:val="single" w:color="auto" w:sz="4" w:space="0"/>
            </w:tcBorders>
            <w:noWrap/>
            <w:vAlign w:val="center"/>
          </w:tcPr>
          <w:p w14:paraId="15358EB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p w14:paraId="00A1900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p>
        </w:tc>
      </w:tr>
      <w:tr w14:paraId="567E1605">
        <w:tblPrEx>
          <w:tblCellMar>
            <w:top w:w="0" w:type="dxa"/>
            <w:left w:w="108" w:type="dxa"/>
            <w:bottom w:w="0" w:type="dxa"/>
            <w:right w:w="108" w:type="dxa"/>
          </w:tblCellMar>
        </w:tblPrEx>
        <w:trPr>
          <w:trHeight w:val="1627" w:hRule="atLeast"/>
        </w:trPr>
        <w:tc>
          <w:tcPr>
            <w:tcW w:w="1204" w:type="pct"/>
            <w:gridSpan w:val="2"/>
            <w:tcBorders>
              <w:top w:val="nil"/>
              <w:left w:val="nil"/>
              <w:bottom w:val="nil"/>
              <w:right w:val="nil"/>
            </w:tcBorders>
            <w:noWrap/>
            <w:vAlign w:val="top"/>
          </w:tcPr>
          <w:p w14:paraId="1DF6C5B7">
            <w:pPr>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审核人：</w:t>
            </w:r>
          </w:p>
        </w:tc>
        <w:tc>
          <w:tcPr>
            <w:tcW w:w="2441" w:type="pct"/>
            <w:gridSpan w:val="2"/>
            <w:tcBorders>
              <w:top w:val="nil"/>
              <w:left w:val="nil"/>
              <w:bottom w:val="nil"/>
              <w:right w:val="nil"/>
            </w:tcBorders>
            <w:noWrap/>
            <w:vAlign w:val="top"/>
          </w:tcPr>
          <w:p w14:paraId="680A3B21">
            <w:pPr>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填表人：</w:t>
            </w:r>
          </w:p>
        </w:tc>
        <w:tc>
          <w:tcPr>
            <w:tcW w:w="1353" w:type="pct"/>
            <w:gridSpan w:val="3"/>
            <w:tcBorders>
              <w:top w:val="nil"/>
              <w:left w:val="nil"/>
              <w:bottom w:val="nil"/>
              <w:right w:val="nil"/>
            </w:tcBorders>
            <w:noWrap/>
            <w:vAlign w:val="top"/>
          </w:tcPr>
          <w:p w14:paraId="05B3C182">
            <w:pPr>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填表日期:</w:t>
            </w:r>
          </w:p>
        </w:tc>
      </w:tr>
    </w:tbl>
    <w:p w14:paraId="6136468D">
      <w:pPr>
        <w:keepNext w:val="0"/>
        <w:keepLines w:val="0"/>
        <w:pageBreakBefore w:val="0"/>
        <w:widowControl w:val="0"/>
        <w:kinsoku/>
        <w:wordWrap/>
        <w:overflowPunct/>
        <w:topLinePunct w:val="0"/>
        <w:autoSpaceDE/>
        <w:autoSpaceDN/>
        <w:bidi w:val="0"/>
        <w:adjustRightInd w:val="0"/>
        <w:snapToGrid/>
        <w:spacing w:line="420" w:lineRule="exact"/>
        <w:jc w:val="both"/>
        <w:textAlignment w:val="auto"/>
        <w:rPr>
          <w:rFonts w:hint="default" w:ascii="宋体" w:hAnsi="宋体" w:eastAsia="宋体" w:cs="宋体"/>
          <w:b/>
          <w:snapToGrid/>
          <w:color w:val="auto"/>
          <w:kern w:val="2"/>
          <w:sz w:val="22"/>
          <w:szCs w:val="22"/>
          <w:highlight w:val="none"/>
          <w:lang w:val="en-US" w:eastAsia="zh-CN"/>
        </w:rPr>
      </w:pPr>
    </w:p>
    <w:p w14:paraId="35C0485D">
      <w:pPr>
        <w:ind w:left="0" w:leftChars="0" w:firstLine="0" w:firstLineChars="0"/>
        <w:rPr>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01D3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E184F00">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E184F00">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00ABA"/>
    <w:rsid w:val="004C513C"/>
    <w:rsid w:val="146C3F89"/>
    <w:rsid w:val="169243E3"/>
    <w:rsid w:val="1B4C295A"/>
    <w:rsid w:val="22F3365F"/>
    <w:rsid w:val="3168109A"/>
    <w:rsid w:val="39400ABA"/>
    <w:rsid w:val="3C484233"/>
    <w:rsid w:val="3EA12316"/>
    <w:rsid w:val="4CB21301"/>
    <w:rsid w:val="4D730311"/>
    <w:rsid w:val="566C002D"/>
    <w:rsid w:val="5D8772F7"/>
    <w:rsid w:val="67CF5902"/>
    <w:rsid w:val="6CA67251"/>
    <w:rsid w:val="75796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
    <w:pPr>
      <w:autoSpaceDE w:val="0"/>
      <w:autoSpaceDN w:val="0"/>
      <w:spacing w:before="48"/>
      <w:ind w:left="3375" w:right="3442"/>
      <w:jc w:val="center"/>
      <w:outlineLvl w:val="0"/>
    </w:pPr>
    <w:rPr>
      <w:rFonts w:ascii="宋体" w:hAnsi="宋体" w:eastAsia="宋体" w:cs="宋体"/>
      <w:b/>
      <w:bCs/>
      <w:kern w:val="0"/>
      <w:szCs w:val="21"/>
    </w:rPr>
  </w:style>
  <w:style w:type="paragraph" w:styleId="2">
    <w:name w:val="heading 2"/>
    <w:basedOn w:val="1"/>
    <w:next w:val="1"/>
    <w:unhideWhenUsed/>
    <w:qFormat/>
    <w:uiPriority w:val="9"/>
    <w:pPr>
      <w:keepNext/>
      <w:keepLines/>
      <w:spacing w:before="260" w:after="260" w:line="416" w:lineRule="auto"/>
      <w:outlineLvl w:val="1"/>
    </w:pPr>
    <w:rPr>
      <w:rFonts w:ascii="等线 Light" w:hAnsi="等线 Light" w:eastAsia="等线 Light" w:cs="Times New Roman"/>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1"/>
    <w:pPr>
      <w:autoSpaceDE w:val="0"/>
      <w:autoSpaceDN w:val="0"/>
      <w:ind w:left="490"/>
      <w:jc w:val="left"/>
    </w:pPr>
    <w:rPr>
      <w:rFonts w:ascii="宋体" w:hAnsi="宋体" w:eastAsia="宋体" w:cs="宋体"/>
      <w:kern w:val="0"/>
      <w:sz w:val="19"/>
      <w:szCs w:val="19"/>
    </w:rPr>
  </w:style>
  <w:style w:type="paragraph" w:styleId="5">
    <w:name w:val="toc 3"/>
    <w:basedOn w:val="1"/>
    <w:next w:val="1"/>
    <w:qFormat/>
    <w:uiPriority w:val="0"/>
    <w:pPr>
      <w:tabs>
        <w:tab w:val="right" w:leader="dot" w:pos="9639"/>
      </w:tabs>
      <w:spacing w:line="480" w:lineRule="auto"/>
      <w:ind w:left="480" w:leftChars="200"/>
    </w:pPr>
    <w:rPr>
      <w:rFonts w:ascii="仿宋" w:hAnsi="仿宋" w:eastAsia="宋体" w:cs="仿宋"/>
      <w:sz w:val="22"/>
      <w:szCs w:val="36"/>
      <w:highlight w:val="none"/>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需求文字"/>
    <w:basedOn w:val="1"/>
    <w:link w:val="12"/>
    <w:qFormat/>
    <w:uiPriority w:val="0"/>
    <w:pPr>
      <w:spacing w:line="420" w:lineRule="exact"/>
      <w:ind w:firstLine="420" w:firstLineChars="200"/>
    </w:pPr>
    <w:rPr>
      <w:rFonts w:hint="eastAsia" w:ascii="宋体" w:hAnsi="宋体" w:eastAsia="宋体"/>
      <w:kern w:val="0"/>
      <w:sz w:val="22"/>
      <w:szCs w:val="20"/>
    </w:rPr>
  </w:style>
  <w:style w:type="character" w:customStyle="1" w:styleId="12">
    <w:name w:val="需求文字 Char"/>
    <w:link w:val="11"/>
    <w:qFormat/>
    <w:uiPriority w:val="0"/>
    <w:rPr>
      <w:rFonts w:hint="eastAsia" w:ascii="宋体" w:hAnsi="宋体" w:eastAsia="宋体"/>
      <w:sz w:val="22"/>
    </w:rPr>
  </w:style>
  <w:style w:type="paragraph" w:customStyle="1" w:styleId="13">
    <w:name w:val="需求表格"/>
    <w:basedOn w:val="1"/>
    <w:qFormat/>
    <w:uiPriority w:val="0"/>
    <w:pPr>
      <w:spacing w:line="420" w:lineRule="exact"/>
      <w:ind w:firstLine="0" w:firstLineChars="0"/>
      <w:jc w:val="center"/>
    </w:pPr>
    <w:rPr>
      <w:rFonts w:hint="eastAsia" w:ascii="宋体" w:hAnsi="宋体" w:eastAsia="宋体"/>
      <w:sz w:val="22"/>
      <w:szCs w:val="22"/>
    </w:rPr>
  </w:style>
  <w:style w:type="paragraph" w:customStyle="1" w:styleId="14">
    <w:name w:val="表格文件"/>
    <w:basedOn w:val="1"/>
    <w:qFormat/>
    <w:uiPriority w:val="0"/>
    <w:pPr>
      <w:spacing w:line="420" w:lineRule="exact"/>
      <w:jc w:val="left"/>
    </w:pPr>
    <w:rPr>
      <w:rFonts w:hint="eastAsia" w:ascii="宋体" w:hAnsi="宋体" w:eastAsia="宋体" w:cs="宋体"/>
      <w:color w:val="auto"/>
      <w:sz w:val="22"/>
      <w:szCs w:val="22"/>
    </w:rPr>
  </w:style>
  <w:style w:type="paragraph" w:customStyle="1" w:styleId="15">
    <w:name w:val="null3"/>
    <w:qFormat/>
    <w:uiPriority w:val="0"/>
    <w:rPr>
      <w:rFonts w:hint="eastAsia" w:ascii="等线" w:hAnsi="等线" w:eastAsia="等线"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2025-07-14T03:57:00Z</dcterms:created>
  <dc:creator>11</dc:creator>
  <cp:lastModifiedBy>11</cp:lastModifiedBy>
  <dcterms:modified xsi:type="dcterms:W3CDTF">2025-07-14T03:59:10Z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BACA729C5E0743E0B22D36F8FD94FF4A_11</vt:lpwstr>
  </property>
  <property fmtid="{D5CDD505-2E9C-101B-9397-08002B2CF9AE}" pid="4" name="KSOTemplateDocerSaveRecord">
    <vt:lpwstr>eyJoZGlkIjoiMDFlMzA1NmFmMjg2M2MyZDg5ZmJhODEzYjk2YWZhMTAiLCJ1c2VySWQiOiI1MjY3NzE3NDkifQ==</vt:lpwstr>
  </property>
</Properties>
</file>