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p>
    <w:p>
      <w:pPr>
        <w:jc w:val="center"/>
        <w:rPr>
          <w:rFonts w:ascii="黑体" w:hAnsi="黑体" w:eastAsia="黑体"/>
          <w:sz w:val="36"/>
          <w:szCs w:val="36"/>
        </w:rPr>
      </w:pPr>
      <w:bookmarkStart w:id="0" w:name="_Hlk496949272"/>
      <w:bookmarkEnd w:id="0"/>
    </w:p>
    <w:p>
      <w:pPr>
        <w:jc w:val="center"/>
        <w:rPr>
          <w:rFonts w:ascii="黑体" w:hAnsi="黑体" w:eastAsia="黑体"/>
          <w:sz w:val="36"/>
          <w:szCs w:val="36"/>
        </w:rPr>
      </w:pPr>
    </w:p>
    <w:p>
      <w:pPr>
        <w:jc w:val="center"/>
        <w:rPr>
          <w:rFonts w:ascii="黑体" w:hAnsi="黑体" w:eastAsia="黑体"/>
          <w:sz w:val="36"/>
          <w:szCs w:val="36"/>
        </w:rPr>
      </w:pPr>
      <w:bookmarkStart w:id="1" w:name="_Hlk496981087"/>
      <w:bookmarkStart w:id="2" w:name="_Hlk496950128"/>
      <w:r>
        <w:rPr>
          <w:rFonts w:hint="eastAsia" w:ascii="黑体" w:hAnsi="黑体" w:eastAsia="黑体"/>
          <w:sz w:val="36"/>
          <w:szCs w:val="36"/>
        </w:rPr>
        <w:t>唐山正元管业有限公司</w:t>
      </w:r>
    </w:p>
    <w:bookmarkEnd w:id="1"/>
    <w:p>
      <w:pPr>
        <w:jc w:val="center"/>
        <w:rPr>
          <w:rFonts w:ascii="黑体" w:hAnsi="黑体" w:eastAsia="黑体"/>
          <w:sz w:val="36"/>
          <w:szCs w:val="36"/>
        </w:rPr>
      </w:pPr>
      <w:r>
        <w:rPr>
          <w:rFonts w:hint="eastAsia" w:ascii="黑体" w:hAnsi="黑体" w:eastAsia="黑体"/>
          <w:sz w:val="36"/>
          <w:szCs w:val="36"/>
        </w:rPr>
        <w:t>唐山正元管业有限公司建设焊管生产线项目</w:t>
      </w:r>
    </w:p>
    <w:p>
      <w:pPr>
        <w:jc w:val="center"/>
        <w:rPr>
          <w:rFonts w:ascii="黑体" w:hAnsi="黑体" w:eastAsia="黑体"/>
          <w:sz w:val="36"/>
          <w:szCs w:val="36"/>
        </w:rPr>
      </w:pPr>
      <w:r>
        <w:rPr>
          <w:rFonts w:hint="eastAsia" w:ascii="黑体" w:hAnsi="黑体" w:eastAsia="黑体"/>
          <w:sz w:val="36"/>
          <w:szCs w:val="36"/>
        </w:rPr>
        <w:t>竣工环境保护验收监测报告</w:t>
      </w:r>
      <w:bookmarkEnd w:id="2"/>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ind w:firstLine="1280" w:firstLineChars="400"/>
        <w:rPr>
          <w:rFonts w:ascii="宋体"/>
          <w:sz w:val="32"/>
          <w:szCs w:val="32"/>
        </w:rPr>
      </w:pPr>
      <w:r>
        <w:rPr>
          <w:rFonts w:hint="eastAsia" w:ascii="宋体" w:hAnsi="宋体"/>
          <w:sz w:val="32"/>
          <w:szCs w:val="32"/>
        </w:rPr>
        <w:t>建设单位：唐山正元管业有限公司</w:t>
      </w:r>
    </w:p>
    <w:p>
      <w:pPr>
        <w:keepNext w:val="0"/>
        <w:keepLines w:val="0"/>
        <w:pageBreakBefore w:val="0"/>
        <w:widowControl w:val="0"/>
        <w:kinsoku/>
        <w:wordWrap/>
        <w:overflowPunct/>
        <w:topLinePunct w:val="0"/>
        <w:autoSpaceDE/>
        <w:autoSpaceDN/>
        <w:bidi w:val="0"/>
        <w:adjustRightInd/>
        <w:snapToGrid/>
        <w:spacing w:before="313" w:beforeLines="100" w:line="240" w:lineRule="auto"/>
        <w:ind w:left="0" w:leftChars="0" w:right="0" w:rightChars="0" w:firstLine="1280" w:firstLineChars="400"/>
        <w:jc w:val="both"/>
        <w:textAlignment w:val="auto"/>
        <w:outlineLvl w:val="9"/>
        <w:rPr>
          <w:rFonts w:ascii="宋体"/>
          <w:sz w:val="32"/>
          <w:szCs w:val="32"/>
        </w:rPr>
      </w:pPr>
      <w:r>
        <w:rPr>
          <w:rFonts w:hint="eastAsia" w:ascii="宋体" w:hAnsi="宋体"/>
          <w:sz w:val="32"/>
          <w:szCs w:val="32"/>
        </w:rPr>
        <w:t>编制单位：</w:t>
      </w:r>
      <w:r>
        <w:rPr>
          <w:rFonts w:hint="eastAsia"/>
          <w:sz w:val="32"/>
        </w:rPr>
        <w:t>沧州燕赵环境监测技术服务有限公司</w:t>
      </w:r>
    </w:p>
    <w:p>
      <w:pPr>
        <w:jc w:val="center"/>
        <w:rPr>
          <w:rFonts w:ascii="宋体"/>
          <w:sz w:val="36"/>
          <w:szCs w:val="36"/>
        </w:rPr>
      </w:pPr>
    </w:p>
    <w:p>
      <w:pPr>
        <w:jc w:val="center"/>
        <w:rPr>
          <w:rFonts w:ascii="宋体"/>
          <w:sz w:val="36"/>
          <w:szCs w:val="36"/>
        </w:rPr>
      </w:pPr>
    </w:p>
    <w:p>
      <w:pPr>
        <w:jc w:val="center"/>
        <w:rPr>
          <w:rFonts w:ascii="宋体"/>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sz w:val="32"/>
          <w:szCs w:val="32"/>
        </w:rPr>
        <w:t>2018年0</w:t>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rPr>
        <w:t>月</w:t>
      </w:r>
    </w:p>
    <w:p>
      <w:pPr>
        <w:pStyle w:val="118"/>
        <w:keepNext/>
        <w:keepLines/>
        <w:pageBreakBefore w:val="0"/>
        <w:widowControl/>
        <w:kinsoku/>
        <w:wordWrap/>
        <w:overflowPunct/>
        <w:topLinePunct w:val="0"/>
        <w:autoSpaceDE/>
        <w:autoSpaceDN/>
        <w:bidi w:val="0"/>
        <w:adjustRightInd/>
        <w:snapToGrid/>
        <w:spacing w:before="0" w:line="360" w:lineRule="auto"/>
        <w:ind w:left="0" w:leftChars="0" w:right="0" w:rightChars="0" w:firstLine="0" w:firstLineChars="0"/>
        <w:jc w:val="center"/>
        <w:textAlignment w:val="auto"/>
        <w:outlineLvl w:val="9"/>
        <w:rPr>
          <w:rFonts w:ascii="宋体" w:hAnsi="宋体" w:eastAsia="宋体"/>
          <w:b/>
          <w:color w:val="000000"/>
        </w:rPr>
      </w:pPr>
      <w:r>
        <w:rPr>
          <w:rFonts w:hint="eastAsia" w:ascii="宋体" w:hAnsi="宋体" w:eastAsia="宋体"/>
          <w:b/>
          <w:color w:val="000000"/>
          <w:lang w:val="zh-CN"/>
        </w:rPr>
        <w:t>目</w:t>
      </w:r>
      <w:r>
        <w:rPr>
          <w:rFonts w:ascii="宋体" w:hAnsi="宋体" w:eastAsia="宋体"/>
          <w:b/>
          <w:color w:val="000000"/>
          <w:lang w:val="zh-CN"/>
        </w:rPr>
        <w:t xml:space="preserve">  </w:t>
      </w:r>
      <w:r>
        <w:rPr>
          <w:rFonts w:hint="eastAsia" w:ascii="宋体" w:hAnsi="宋体" w:eastAsia="宋体"/>
          <w:b/>
          <w:color w:val="000000"/>
          <w:lang w:val="zh-CN"/>
        </w:rPr>
        <w:t>录</w:t>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rPr>
          <w:rFonts w:ascii="宋体" w:hAnsi="宋体"/>
          <w:szCs w:val="24"/>
        </w:rPr>
        <w:fldChar w:fldCharType="begin"/>
      </w:r>
      <w:r>
        <w:rPr>
          <w:rFonts w:ascii="宋体" w:hAnsi="宋体"/>
          <w:szCs w:val="24"/>
        </w:rPr>
        <w:instrText xml:space="preserve"> TOC \o "1-3" \h \z \u </w:instrText>
      </w:r>
      <w:r>
        <w:rPr>
          <w:rFonts w:ascii="宋体" w:hAnsi="宋体"/>
          <w:szCs w:val="24"/>
        </w:rPr>
        <w:fldChar w:fldCharType="separate"/>
      </w:r>
      <w:r>
        <w:fldChar w:fldCharType="begin"/>
      </w:r>
      <w:r>
        <w:instrText xml:space="preserve"> HYPERLINK \l "_Toc503884725" </w:instrText>
      </w:r>
      <w:r>
        <w:fldChar w:fldCharType="separate"/>
      </w:r>
      <w:r>
        <w:rPr>
          <w:rStyle w:val="33"/>
          <w:rFonts w:hint="eastAsia"/>
        </w:rPr>
        <w:t>前</w:t>
      </w:r>
      <w:r>
        <w:rPr>
          <w:rStyle w:val="33"/>
        </w:rPr>
        <w:t xml:space="preserve">  </w:t>
      </w:r>
      <w:r>
        <w:rPr>
          <w:rStyle w:val="33"/>
          <w:rFonts w:hint="eastAsia"/>
        </w:rPr>
        <w:t>言</w:t>
      </w:r>
      <w:r>
        <w:tab/>
      </w:r>
      <w:r>
        <w:fldChar w:fldCharType="begin"/>
      </w:r>
      <w:r>
        <w:instrText xml:space="preserve"> PAGEREF _Toc503884725 \h </w:instrText>
      </w:r>
      <w:r>
        <w:fldChar w:fldCharType="separate"/>
      </w:r>
      <w:r>
        <w:t>1</w:t>
      </w:r>
      <w:r>
        <w:fldChar w:fldCharType="end"/>
      </w:r>
      <w:r>
        <w:fldChar w:fldCharType="end"/>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fldChar w:fldCharType="begin"/>
      </w:r>
      <w:r>
        <w:instrText xml:space="preserve"> HYPERLINK \l "_Toc503884726" </w:instrText>
      </w:r>
      <w:r>
        <w:fldChar w:fldCharType="separate"/>
      </w:r>
      <w:r>
        <w:rPr>
          <w:rStyle w:val="33"/>
        </w:rPr>
        <w:t xml:space="preserve">1 </w:t>
      </w:r>
      <w:r>
        <w:rPr>
          <w:rStyle w:val="33"/>
          <w:rFonts w:hint="eastAsia"/>
        </w:rPr>
        <w:t>验收编制依据</w:t>
      </w:r>
      <w:r>
        <w:tab/>
      </w:r>
      <w:r>
        <w:fldChar w:fldCharType="begin"/>
      </w:r>
      <w:r>
        <w:instrText xml:space="preserve"> PAGEREF _Toc503884726 \h </w:instrText>
      </w:r>
      <w:r>
        <w:fldChar w:fldCharType="separate"/>
      </w:r>
      <w:r>
        <w:t>2</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"_Toc503884727" </w:instrText>
      </w:r>
      <w:r>
        <w:fldChar w:fldCharType="separate"/>
      </w:r>
      <w:r>
        <w:rPr>
          <w:rStyle w:val="33"/>
        </w:rPr>
        <w:t xml:space="preserve">1.1 </w:t>
      </w:r>
      <w:r>
        <w:rPr>
          <w:rStyle w:val="33"/>
          <w:rFonts w:hint="eastAsia"/>
        </w:rPr>
        <w:t>法律、法规</w:t>
      </w:r>
      <w:r>
        <w:tab/>
      </w:r>
      <w:r>
        <w:fldChar w:fldCharType="begin"/>
      </w:r>
      <w:r>
        <w:instrText xml:space="preserve"> PAGEREF _Toc503884727 \h </w:instrText>
      </w:r>
      <w:r>
        <w:fldChar w:fldCharType="separate"/>
      </w:r>
      <w:r>
        <w:t>2</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"_Toc503884728" </w:instrText>
      </w:r>
      <w:r>
        <w:fldChar w:fldCharType="separate"/>
      </w:r>
      <w:r>
        <w:rPr>
          <w:rStyle w:val="33"/>
        </w:rPr>
        <w:t xml:space="preserve">1.2 </w:t>
      </w:r>
      <w:r>
        <w:rPr>
          <w:rStyle w:val="33"/>
          <w:rFonts w:hint="eastAsia"/>
        </w:rPr>
        <w:t>验收技术规范</w:t>
      </w:r>
      <w:r>
        <w:tab/>
      </w:r>
      <w:r>
        <w:fldChar w:fldCharType="begin"/>
      </w:r>
      <w:r>
        <w:instrText xml:space="preserve"> PAGEREF _Toc503884728 \h </w:instrText>
      </w:r>
      <w:r>
        <w:fldChar w:fldCharType="separate"/>
      </w:r>
      <w:r>
        <w:t>2</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"_Toc503884729" </w:instrText>
      </w:r>
      <w:r>
        <w:fldChar w:fldCharType="separate"/>
      </w:r>
      <w:r>
        <w:rPr>
          <w:rStyle w:val="33"/>
        </w:rPr>
        <w:t xml:space="preserve">1.3 </w:t>
      </w:r>
      <w:r>
        <w:rPr>
          <w:rStyle w:val="33"/>
          <w:rFonts w:hint="eastAsia"/>
        </w:rPr>
        <w:t>工程技术文件及批复文件</w:t>
      </w:r>
      <w:r>
        <w:tab/>
      </w:r>
      <w:r>
        <w:fldChar w:fldCharType="begin"/>
      </w:r>
      <w:r>
        <w:instrText xml:space="preserve"> PAGEREF _Toc503884729 \h </w:instrText>
      </w:r>
      <w:r>
        <w:fldChar w:fldCharType="separate"/>
      </w:r>
      <w:r>
        <w:t>3</w:t>
      </w:r>
      <w:r>
        <w:fldChar w:fldCharType="end"/>
      </w:r>
      <w:r>
        <w:fldChar w:fldCharType="end"/>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fldChar w:fldCharType="begin"/>
      </w:r>
      <w:r>
        <w:instrText xml:space="preserve"> HYPERLINK \l "_Toc503884730" </w:instrText>
      </w:r>
      <w:r>
        <w:fldChar w:fldCharType="separate"/>
      </w:r>
      <w:r>
        <w:rPr>
          <w:rStyle w:val="33"/>
        </w:rPr>
        <w:t xml:space="preserve">2 </w:t>
      </w:r>
      <w:r>
        <w:rPr>
          <w:rStyle w:val="33"/>
          <w:rFonts w:hint="eastAsia"/>
        </w:rPr>
        <w:t>工程概况</w:t>
      </w:r>
      <w:r>
        <w:tab/>
      </w:r>
      <w:r>
        <w:fldChar w:fldCharType="begin"/>
      </w:r>
      <w:r>
        <w:instrText xml:space="preserve"> PAGEREF _Toc503884730 \h </w:instrText>
      </w:r>
      <w:r>
        <w:fldChar w:fldCharType="separate"/>
      </w:r>
      <w:r>
        <w:t>4</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"_Toc503884731" </w:instrText>
      </w:r>
      <w:r>
        <w:fldChar w:fldCharType="separate"/>
      </w:r>
      <w:r>
        <w:rPr>
          <w:rStyle w:val="33"/>
        </w:rPr>
        <w:t xml:space="preserve">2.1 </w:t>
      </w:r>
      <w:r>
        <w:rPr>
          <w:rStyle w:val="33"/>
          <w:rFonts w:hint="eastAsia"/>
        </w:rPr>
        <w:t>项目基本情况</w:t>
      </w:r>
      <w:r>
        <w:tab/>
      </w:r>
      <w:r>
        <w:fldChar w:fldCharType="begin"/>
      </w:r>
      <w:r>
        <w:instrText xml:space="preserve"> PAGEREF _Toc503884731 \h </w:instrText>
      </w:r>
      <w:r>
        <w:fldChar w:fldCharType="separate"/>
      </w:r>
      <w:r>
        <w:t>4</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"_Toc503884735" </w:instrText>
      </w:r>
      <w:r>
        <w:fldChar w:fldCharType="separate"/>
      </w:r>
      <w:r>
        <w:rPr>
          <w:rStyle w:val="33"/>
        </w:rPr>
        <w:t xml:space="preserve">2.2 </w:t>
      </w:r>
      <w:r>
        <w:rPr>
          <w:rStyle w:val="33"/>
          <w:rFonts w:hint="eastAsia"/>
        </w:rPr>
        <w:t>建设内容</w:t>
      </w:r>
      <w:r>
        <w:tab/>
      </w:r>
      <w:r>
        <w:fldChar w:fldCharType="begin"/>
      </w:r>
      <w:r>
        <w:instrText xml:space="preserve"> PAGEREF _Toc503884735 \h </w:instrText>
      </w:r>
      <w:r>
        <w:fldChar w:fldCharType="separate"/>
      </w:r>
      <w:r>
        <w:t>5</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"_Toc503884741" </w:instrText>
      </w:r>
      <w:r>
        <w:fldChar w:fldCharType="separate"/>
      </w:r>
      <w:r>
        <w:rPr>
          <w:rStyle w:val="33"/>
        </w:rPr>
        <w:t xml:space="preserve">2.3 </w:t>
      </w:r>
      <w:r>
        <w:rPr>
          <w:rStyle w:val="33"/>
          <w:rFonts w:hint="eastAsia"/>
        </w:rPr>
        <w:t>工艺流程</w:t>
      </w:r>
      <w:r>
        <w:tab/>
      </w:r>
      <w:r>
        <w:fldChar w:fldCharType="begin"/>
      </w:r>
      <w:r>
        <w:instrText xml:space="preserve"> PAGEREF _Toc503884741 \h </w:instrText>
      </w:r>
      <w:r>
        <w:fldChar w:fldCharType="separate"/>
      </w:r>
      <w:r>
        <w:t>7</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"_Toc503884742" </w:instrText>
      </w:r>
      <w:r>
        <w:fldChar w:fldCharType="separate"/>
      </w:r>
      <w:r>
        <w:rPr>
          <w:rStyle w:val="33"/>
        </w:rPr>
        <w:t xml:space="preserve">2.4 </w:t>
      </w:r>
      <w:r>
        <w:rPr>
          <w:rStyle w:val="33"/>
          <w:rFonts w:hint="eastAsia"/>
        </w:rPr>
        <w:t>劳动定员及工作制度</w:t>
      </w:r>
      <w:r>
        <w:tab/>
      </w:r>
      <w:r>
        <w:fldChar w:fldCharType="begin"/>
      </w:r>
      <w:r>
        <w:instrText xml:space="preserve"> PAGEREF _Toc503884742 \h </w:instrText>
      </w:r>
      <w:r>
        <w:fldChar w:fldCharType="separate"/>
      </w:r>
      <w:r>
        <w:t>10</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"_Toc503884743" </w:instrText>
      </w:r>
      <w:r>
        <w:fldChar w:fldCharType="separate"/>
      </w:r>
      <w:r>
        <w:rPr>
          <w:rStyle w:val="33"/>
        </w:rPr>
        <w:t xml:space="preserve">2.5 </w:t>
      </w:r>
      <w:r>
        <w:rPr>
          <w:rStyle w:val="33"/>
          <w:rFonts w:hint="eastAsia"/>
        </w:rPr>
        <w:t>公用工程</w:t>
      </w:r>
      <w:r>
        <w:tab/>
      </w:r>
      <w:r>
        <w:fldChar w:fldCharType="begin"/>
      </w:r>
      <w:r>
        <w:instrText xml:space="preserve"> PAGEREF _Toc503884743 \h </w:instrText>
      </w:r>
      <w:r>
        <w:fldChar w:fldCharType="separate"/>
      </w:r>
      <w:r>
        <w:t>10</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"_Toc503884747" </w:instrText>
      </w:r>
      <w:r>
        <w:fldChar w:fldCharType="separate"/>
      </w:r>
      <w:r>
        <w:rPr>
          <w:rStyle w:val="33"/>
        </w:rPr>
        <w:t xml:space="preserve">2.6 </w:t>
      </w:r>
      <w:r>
        <w:rPr>
          <w:rStyle w:val="33"/>
          <w:rFonts w:hint="eastAsia"/>
        </w:rPr>
        <w:t>环评审批情况</w:t>
      </w:r>
      <w:r>
        <w:tab/>
      </w:r>
      <w:r>
        <w:fldChar w:fldCharType="begin"/>
      </w:r>
      <w:r>
        <w:instrText xml:space="preserve"> PAGEREF _Toc503884747 \h </w:instrText>
      </w:r>
      <w:r>
        <w:fldChar w:fldCharType="separate"/>
      </w:r>
      <w:r>
        <w:t>10</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"_Toc503884748" </w:instrText>
      </w:r>
      <w:r>
        <w:fldChar w:fldCharType="separate"/>
      </w:r>
      <w:r>
        <w:rPr>
          <w:rStyle w:val="33"/>
        </w:rPr>
        <w:t xml:space="preserve">2.7 </w:t>
      </w:r>
      <w:r>
        <w:rPr>
          <w:rStyle w:val="33"/>
          <w:rFonts w:hint="eastAsia"/>
        </w:rPr>
        <w:t>项目投资</w:t>
      </w:r>
      <w:r>
        <w:tab/>
      </w:r>
      <w:r>
        <w:fldChar w:fldCharType="begin"/>
      </w:r>
      <w:r>
        <w:instrText xml:space="preserve"> PAGEREF _Toc503884748 \h </w:instrText>
      </w:r>
      <w:r>
        <w:fldChar w:fldCharType="separate"/>
      </w:r>
      <w:r>
        <w:t>11</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"_Toc503884749" </w:instrText>
      </w:r>
      <w:r>
        <w:fldChar w:fldCharType="separate"/>
      </w:r>
      <w:r>
        <w:rPr>
          <w:rStyle w:val="33"/>
        </w:rPr>
        <w:t xml:space="preserve">2.8 </w:t>
      </w:r>
      <w:r>
        <w:rPr>
          <w:rStyle w:val="33"/>
          <w:rFonts w:hint="eastAsia"/>
        </w:rPr>
        <w:t>项目变更情况说明</w:t>
      </w:r>
      <w:r>
        <w:tab/>
      </w:r>
      <w:r>
        <w:fldChar w:fldCharType="begin"/>
      </w:r>
      <w:r>
        <w:instrText xml:space="preserve"> PAGEREF _Toc503884749 \h </w:instrText>
      </w:r>
      <w:r>
        <w:fldChar w:fldCharType="separate"/>
      </w:r>
      <w:r>
        <w:t>11</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"_Toc503884752" </w:instrText>
      </w:r>
      <w:r>
        <w:fldChar w:fldCharType="separate"/>
      </w:r>
      <w:r>
        <w:rPr>
          <w:rStyle w:val="33"/>
        </w:rPr>
        <w:t xml:space="preserve">2.9 </w:t>
      </w:r>
      <w:r>
        <w:rPr>
          <w:rStyle w:val="33"/>
          <w:rFonts w:hint="eastAsia"/>
        </w:rPr>
        <w:t>环境保护“三同时”落实情况</w:t>
      </w:r>
      <w:r>
        <w:tab/>
      </w:r>
      <w:r>
        <w:fldChar w:fldCharType="begin"/>
      </w:r>
      <w:r>
        <w:instrText xml:space="preserve"> PAGEREF _Toc503884752 \h </w:instrText>
      </w:r>
      <w:r>
        <w:fldChar w:fldCharType="separate"/>
      </w:r>
      <w:r>
        <w:t>11</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"_Toc503884753" </w:instrText>
      </w:r>
      <w:r>
        <w:fldChar w:fldCharType="separate"/>
      </w:r>
      <w:r>
        <w:rPr>
          <w:rStyle w:val="33"/>
        </w:rPr>
        <w:t xml:space="preserve">2.10 </w:t>
      </w:r>
      <w:r>
        <w:rPr>
          <w:rStyle w:val="33"/>
          <w:rFonts w:hint="eastAsia"/>
        </w:rPr>
        <w:t>验收范围及内容</w:t>
      </w:r>
      <w:r>
        <w:tab/>
      </w:r>
      <w:r>
        <w:fldChar w:fldCharType="begin"/>
      </w:r>
      <w:r>
        <w:instrText xml:space="preserve"> PAGEREF _Toc503884753 \h </w:instrText>
      </w:r>
      <w:r>
        <w:fldChar w:fldCharType="separate"/>
      </w:r>
      <w:r>
        <w:t>12</w:t>
      </w:r>
      <w:r>
        <w:fldChar w:fldCharType="end"/>
      </w:r>
      <w:r>
        <w:fldChar w:fldCharType="end"/>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fldChar w:fldCharType="begin"/>
      </w:r>
      <w:r>
        <w:instrText xml:space="preserve"> HYPERLINK \l "_Toc503884754" </w:instrText>
      </w:r>
      <w:r>
        <w:fldChar w:fldCharType="separate"/>
      </w:r>
      <w:r>
        <w:rPr>
          <w:rStyle w:val="33"/>
        </w:rPr>
        <w:t xml:space="preserve">3 </w:t>
      </w:r>
      <w:r>
        <w:rPr>
          <w:rStyle w:val="33"/>
          <w:rFonts w:hint="eastAsia"/>
        </w:rPr>
        <w:t>主要污染源及治理措施</w:t>
      </w:r>
      <w:r>
        <w:tab/>
      </w:r>
      <w:r>
        <w:fldChar w:fldCharType="begin"/>
      </w:r>
      <w:r>
        <w:instrText xml:space="preserve"> PAGEREF _Toc503884754 \h </w:instrText>
      </w:r>
      <w:r>
        <w:fldChar w:fldCharType="separate"/>
      </w:r>
      <w:r>
        <w:t>13</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"_Toc503884755" </w:instrText>
      </w:r>
      <w:r>
        <w:fldChar w:fldCharType="separate"/>
      </w:r>
      <w:r>
        <w:rPr>
          <w:rStyle w:val="33"/>
        </w:rPr>
        <w:t xml:space="preserve">3.1 </w:t>
      </w:r>
      <w:r>
        <w:rPr>
          <w:rStyle w:val="33"/>
          <w:rFonts w:hint="eastAsia"/>
        </w:rPr>
        <w:t>施工期主要污染源及治理措施</w:t>
      </w:r>
      <w:r>
        <w:tab/>
      </w:r>
      <w:r>
        <w:fldChar w:fldCharType="begin"/>
      </w:r>
      <w:r>
        <w:instrText xml:space="preserve"> PAGEREF _Toc503884755 \h </w:instrText>
      </w:r>
      <w:r>
        <w:fldChar w:fldCharType="separate"/>
      </w:r>
      <w:r>
        <w:t>13</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"_Toc503884756" </w:instrText>
      </w:r>
      <w:r>
        <w:fldChar w:fldCharType="separate"/>
      </w:r>
      <w:r>
        <w:rPr>
          <w:rStyle w:val="33"/>
        </w:rPr>
        <w:t xml:space="preserve">3.2 </w:t>
      </w:r>
      <w:r>
        <w:rPr>
          <w:rStyle w:val="33"/>
          <w:rFonts w:hint="eastAsia"/>
        </w:rPr>
        <w:t>运行期主要污染源及治理措施</w:t>
      </w:r>
      <w:r>
        <w:tab/>
      </w:r>
      <w:r>
        <w:fldChar w:fldCharType="begin"/>
      </w:r>
      <w:r>
        <w:instrText xml:space="preserve"> PAGEREF _Toc503884756 \h </w:instrText>
      </w:r>
      <w:r>
        <w:fldChar w:fldCharType="separate"/>
      </w:r>
      <w:r>
        <w:t>13</w:t>
      </w:r>
      <w:r>
        <w:fldChar w:fldCharType="end"/>
      </w:r>
      <w:r>
        <w:fldChar w:fldCharType="end"/>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fldChar w:fldCharType="begin"/>
      </w:r>
      <w:r>
        <w:instrText xml:space="preserve"> HYPERLINK \l "_Toc503884761" </w:instrText>
      </w:r>
      <w:r>
        <w:fldChar w:fldCharType="separate"/>
      </w:r>
      <w:r>
        <w:rPr>
          <w:rStyle w:val="33"/>
        </w:rPr>
        <w:t xml:space="preserve">4 </w:t>
      </w:r>
      <w:r>
        <w:rPr>
          <w:rStyle w:val="33"/>
          <w:rFonts w:hint="eastAsia"/>
        </w:rPr>
        <w:t>环评主要结论及环评批复要求</w:t>
      </w:r>
      <w:r>
        <w:tab/>
      </w:r>
      <w:r>
        <w:fldChar w:fldCharType="begin"/>
      </w:r>
      <w:r>
        <w:instrText xml:space="preserve"> PAGEREF _Toc503884761 \h </w:instrText>
      </w:r>
      <w:r>
        <w:fldChar w:fldCharType="separate"/>
      </w:r>
      <w:r>
        <w:t>14</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"_Toc503884762" </w:instrText>
      </w:r>
      <w:r>
        <w:fldChar w:fldCharType="separate"/>
      </w:r>
      <w:r>
        <w:rPr>
          <w:rStyle w:val="33"/>
        </w:rPr>
        <w:t xml:space="preserve">4.1 </w:t>
      </w:r>
      <w:r>
        <w:rPr>
          <w:rStyle w:val="33"/>
          <w:rFonts w:hint="eastAsia"/>
        </w:rPr>
        <w:t>建设项目环评报告表的主要结论与建议</w:t>
      </w:r>
      <w:r>
        <w:tab/>
      </w:r>
      <w:r>
        <w:fldChar w:fldCharType="begin"/>
      </w:r>
      <w:r>
        <w:instrText xml:space="preserve"> PAGEREF _Toc503884762 \h </w:instrText>
      </w:r>
      <w:r>
        <w:fldChar w:fldCharType="separate"/>
      </w:r>
      <w:r>
        <w:t>15</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"_Toc503884765" </w:instrText>
      </w:r>
      <w:r>
        <w:fldChar w:fldCharType="separate"/>
      </w:r>
      <w:r>
        <w:rPr>
          <w:rStyle w:val="33"/>
        </w:rPr>
        <w:t xml:space="preserve">4.2 </w:t>
      </w:r>
      <w:r>
        <w:rPr>
          <w:rStyle w:val="33"/>
          <w:rFonts w:hint="eastAsia"/>
        </w:rPr>
        <w:t>审批部门审批意见</w:t>
      </w:r>
      <w:r>
        <w:tab/>
      </w:r>
      <w:r>
        <w:fldChar w:fldCharType="begin"/>
      </w:r>
      <w:r>
        <w:instrText xml:space="preserve"> PAGEREF _Toc503884765 \h </w:instrText>
      </w:r>
      <w:r>
        <w:fldChar w:fldCharType="separate"/>
      </w:r>
      <w:r>
        <w:t>17</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"_Toc503884766" </w:instrText>
      </w:r>
      <w:r>
        <w:fldChar w:fldCharType="separate"/>
      </w:r>
      <w:r>
        <w:rPr>
          <w:rStyle w:val="33"/>
        </w:rPr>
        <w:t xml:space="preserve">4.3 </w:t>
      </w:r>
      <w:r>
        <w:rPr>
          <w:rStyle w:val="33"/>
          <w:rFonts w:hint="eastAsia"/>
        </w:rPr>
        <w:t>审批意见落实情况</w:t>
      </w:r>
      <w:r>
        <w:tab/>
      </w:r>
      <w:r>
        <w:fldChar w:fldCharType="begin"/>
      </w:r>
      <w:r>
        <w:instrText xml:space="preserve"> PAGEREF _Toc503884766 \h </w:instrText>
      </w:r>
      <w:r>
        <w:fldChar w:fldCharType="separate"/>
      </w:r>
      <w:r>
        <w:t>17</w:t>
      </w:r>
      <w:r>
        <w:fldChar w:fldCharType="end"/>
      </w:r>
      <w:r>
        <w:fldChar w:fldCharType="end"/>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fldChar w:fldCharType="begin"/>
      </w:r>
      <w:r>
        <w:instrText xml:space="preserve"> HYPERLINK \l "_Toc503884767" </w:instrText>
      </w:r>
      <w:r>
        <w:fldChar w:fldCharType="separate"/>
      </w:r>
      <w:r>
        <w:rPr>
          <w:rStyle w:val="33"/>
        </w:rPr>
        <w:t xml:space="preserve">5 </w:t>
      </w:r>
      <w:r>
        <w:rPr>
          <w:rStyle w:val="33"/>
          <w:rFonts w:hint="eastAsia"/>
        </w:rPr>
        <w:t>验收评价标准</w:t>
      </w:r>
      <w:r>
        <w:tab/>
      </w:r>
      <w:r>
        <w:fldChar w:fldCharType="begin"/>
      </w:r>
      <w:r>
        <w:instrText xml:space="preserve"> PAGEREF _Toc503884767 \h </w:instrText>
      </w:r>
      <w:r>
        <w:fldChar w:fldCharType="separate"/>
      </w:r>
      <w:r>
        <w:t>19</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"_Toc503884768" </w:instrText>
      </w:r>
      <w:r>
        <w:fldChar w:fldCharType="separate"/>
      </w:r>
      <w:r>
        <w:rPr>
          <w:rStyle w:val="33"/>
        </w:rPr>
        <w:t xml:space="preserve">5.1 </w:t>
      </w:r>
      <w:r>
        <w:rPr>
          <w:rStyle w:val="33"/>
          <w:rFonts w:hint="eastAsia"/>
        </w:rPr>
        <w:t>污染物排放标准</w:t>
      </w:r>
      <w:r>
        <w:tab/>
      </w:r>
      <w:r>
        <w:fldChar w:fldCharType="begin"/>
      </w:r>
      <w:r>
        <w:instrText xml:space="preserve"> PAGEREF _Toc503884768 \h </w:instrText>
      </w:r>
      <w:r>
        <w:fldChar w:fldCharType="separate"/>
      </w:r>
      <w:r>
        <w:t>19</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"_Toc503884771" </w:instrText>
      </w:r>
      <w:r>
        <w:fldChar w:fldCharType="separate"/>
      </w:r>
      <w:r>
        <w:rPr>
          <w:rStyle w:val="33"/>
        </w:rPr>
        <w:t xml:space="preserve">5.2 </w:t>
      </w:r>
      <w:r>
        <w:rPr>
          <w:rStyle w:val="33"/>
          <w:rFonts w:hint="eastAsia"/>
        </w:rPr>
        <w:t>总量控制指标</w:t>
      </w:r>
      <w:r>
        <w:tab/>
      </w:r>
      <w:r>
        <w:fldChar w:fldCharType="begin"/>
      </w:r>
      <w:r>
        <w:instrText xml:space="preserve"> PAGEREF _Toc503884771 \h </w:instrText>
      </w:r>
      <w:r>
        <w:fldChar w:fldCharType="separate"/>
      </w:r>
      <w:r>
        <w:t>20</w:t>
      </w:r>
      <w:r>
        <w:fldChar w:fldCharType="end"/>
      </w:r>
      <w:r>
        <w:fldChar w:fldCharType="end"/>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fldChar w:fldCharType="begin"/>
      </w:r>
      <w:r>
        <w:instrText xml:space="preserve"> HYPERLINK \l "_Toc503884772" </w:instrText>
      </w:r>
      <w:r>
        <w:fldChar w:fldCharType="separate"/>
      </w:r>
      <w:r>
        <w:rPr>
          <w:rStyle w:val="33"/>
        </w:rPr>
        <w:t xml:space="preserve">6 </w:t>
      </w:r>
      <w:r>
        <w:rPr>
          <w:rStyle w:val="33"/>
          <w:rFonts w:hint="eastAsia"/>
        </w:rPr>
        <w:t>质量保障措施和检测分析方法</w:t>
      </w:r>
      <w:r>
        <w:tab/>
      </w:r>
      <w:r>
        <w:fldChar w:fldCharType="begin"/>
      </w:r>
      <w:r>
        <w:instrText xml:space="preserve"> PAGEREF _Toc503884772 \h </w:instrText>
      </w:r>
      <w:r>
        <w:fldChar w:fldCharType="separate"/>
      </w:r>
      <w:r>
        <w:t>21</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"_Toc503884773" </w:instrText>
      </w:r>
      <w:r>
        <w:fldChar w:fldCharType="separate"/>
      </w:r>
      <w:r>
        <w:rPr>
          <w:rStyle w:val="33"/>
        </w:rPr>
        <w:t xml:space="preserve">6.1 </w:t>
      </w:r>
      <w:r>
        <w:rPr>
          <w:rStyle w:val="33"/>
          <w:rFonts w:hint="eastAsia"/>
        </w:rPr>
        <w:t>质量保障体系</w:t>
      </w:r>
      <w:r>
        <w:tab/>
      </w:r>
      <w:r>
        <w:fldChar w:fldCharType="begin"/>
      </w:r>
      <w:r>
        <w:instrText xml:space="preserve"> PAGEREF _Toc503884773 \h </w:instrText>
      </w:r>
      <w:r>
        <w:fldChar w:fldCharType="separate"/>
      </w:r>
      <w:r>
        <w:t>21</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"_Toc503884774" </w:instrText>
      </w:r>
      <w:r>
        <w:fldChar w:fldCharType="separate"/>
      </w:r>
      <w:r>
        <w:rPr>
          <w:rStyle w:val="33"/>
        </w:rPr>
        <w:t xml:space="preserve">6.2 </w:t>
      </w:r>
      <w:r>
        <w:rPr>
          <w:rStyle w:val="33"/>
          <w:rFonts w:hint="eastAsia"/>
        </w:rPr>
        <w:t>检测分析方法</w:t>
      </w:r>
      <w:r>
        <w:tab/>
      </w:r>
      <w:r>
        <w:fldChar w:fldCharType="begin"/>
      </w:r>
      <w:r>
        <w:instrText xml:space="preserve"> PAGEREF _Toc503884774 \h </w:instrText>
      </w:r>
      <w:r>
        <w:fldChar w:fldCharType="separate"/>
      </w:r>
      <w:r>
        <w:t>21</w:t>
      </w:r>
      <w:r>
        <w:fldChar w:fldCharType="end"/>
      </w:r>
      <w:r>
        <w:fldChar w:fldCharType="end"/>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fldChar w:fldCharType="begin"/>
      </w:r>
      <w:r>
        <w:instrText xml:space="preserve"> HYPERLINK \l "_Toc503884778" </w:instrText>
      </w:r>
      <w:r>
        <w:fldChar w:fldCharType="separate"/>
      </w:r>
      <w:r>
        <w:rPr>
          <w:rStyle w:val="33"/>
        </w:rPr>
        <w:t xml:space="preserve">7 </w:t>
      </w:r>
      <w:r>
        <w:rPr>
          <w:rStyle w:val="33"/>
          <w:rFonts w:hint="eastAsia"/>
        </w:rPr>
        <w:t>验收检测结果及分析</w:t>
      </w:r>
      <w:r>
        <w:tab/>
      </w:r>
      <w:r>
        <w:fldChar w:fldCharType="begin"/>
      </w:r>
      <w:r>
        <w:instrText xml:space="preserve"> PAGEREF _Toc503884778 \h </w:instrText>
      </w:r>
      <w:r>
        <w:fldChar w:fldCharType="separate"/>
      </w:r>
      <w:r>
        <w:t>24</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"_Toc503884779" </w:instrText>
      </w:r>
      <w:r>
        <w:fldChar w:fldCharType="separate"/>
      </w:r>
      <w:r>
        <w:rPr>
          <w:rStyle w:val="33"/>
        </w:rPr>
        <w:t xml:space="preserve">7.1 </w:t>
      </w:r>
      <w:r>
        <w:rPr>
          <w:rStyle w:val="33"/>
          <w:rFonts w:hint="eastAsia"/>
        </w:rPr>
        <w:t>检测结果</w:t>
      </w:r>
      <w:r>
        <w:tab/>
      </w:r>
      <w:r>
        <w:fldChar w:fldCharType="begin"/>
      </w:r>
      <w:r>
        <w:instrText xml:space="preserve"> PAGEREF _Toc503884779 \h </w:instrText>
      </w:r>
      <w:r>
        <w:fldChar w:fldCharType="separate"/>
      </w:r>
      <w:r>
        <w:t>24</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"_Toc503884782" </w:instrText>
      </w:r>
      <w:r>
        <w:fldChar w:fldCharType="separate"/>
      </w:r>
      <w:r>
        <w:rPr>
          <w:rStyle w:val="33"/>
        </w:rPr>
        <w:t xml:space="preserve">7.2 </w:t>
      </w:r>
      <w:r>
        <w:rPr>
          <w:rStyle w:val="33"/>
          <w:rFonts w:hint="eastAsia"/>
        </w:rPr>
        <w:t>检测结果分析</w:t>
      </w:r>
      <w:r>
        <w:tab/>
      </w:r>
      <w:r>
        <w:fldChar w:fldCharType="begin"/>
      </w:r>
      <w:r>
        <w:instrText xml:space="preserve"> PAGEREF _Toc503884782 \h </w:instrText>
      </w:r>
      <w:r>
        <w:fldChar w:fldCharType="separate"/>
      </w:r>
      <w:r>
        <w:t>25</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"_Toc503884785" </w:instrText>
      </w:r>
      <w:r>
        <w:fldChar w:fldCharType="separate"/>
      </w:r>
      <w:r>
        <w:rPr>
          <w:rStyle w:val="33"/>
        </w:rPr>
        <w:t xml:space="preserve">7.3 </w:t>
      </w:r>
      <w:r>
        <w:rPr>
          <w:rStyle w:val="33"/>
          <w:rFonts w:hint="eastAsia"/>
        </w:rPr>
        <w:t>总量控制要求</w:t>
      </w:r>
      <w:r>
        <w:tab/>
      </w:r>
      <w:r>
        <w:fldChar w:fldCharType="begin"/>
      </w:r>
      <w:r>
        <w:instrText xml:space="preserve"> PAGEREF _Toc503884785 \h </w:instrText>
      </w:r>
      <w:r>
        <w:fldChar w:fldCharType="separate"/>
      </w:r>
      <w:r>
        <w:t>25</w:t>
      </w:r>
      <w:r>
        <w:fldChar w:fldCharType="end"/>
      </w:r>
      <w:r>
        <w:fldChar w:fldCharType="end"/>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fldChar w:fldCharType="begin"/>
      </w:r>
      <w:r>
        <w:instrText xml:space="preserve"> HYPERLINK \l "_Toc503884786" </w:instrText>
      </w:r>
      <w:r>
        <w:fldChar w:fldCharType="separate"/>
      </w:r>
      <w:r>
        <w:rPr>
          <w:rStyle w:val="33"/>
        </w:rPr>
        <w:t xml:space="preserve">8 </w:t>
      </w:r>
      <w:r>
        <w:rPr>
          <w:rStyle w:val="33"/>
          <w:rFonts w:hint="eastAsia"/>
        </w:rPr>
        <w:t>环境管理检查</w:t>
      </w:r>
      <w:r>
        <w:tab/>
      </w:r>
      <w:r>
        <w:fldChar w:fldCharType="begin"/>
      </w:r>
      <w:r>
        <w:instrText xml:space="preserve"> PAGEREF _Toc503884786 \h </w:instrText>
      </w:r>
      <w:r>
        <w:fldChar w:fldCharType="separate"/>
      </w:r>
      <w:r>
        <w:t>26</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"_Toc503884787" </w:instrText>
      </w:r>
      <w:r>
        <w:fldChar w:fldCharType="separate"/>
      </w:r>
      <w:r>
        <w:rPr>
          <w:rStyle w:val="33"/>
        </w:rPr>
        <w:t xml:space="preserve">8.1 </w:t>
      </w:r>
      <w:r>
        <w:rPr>
          <w:rStyle w:val="33"/>
          <w:rFonts w:hint="eastAsia"/>
        </w:rPr>
        <w:t>环保管理机构</w:t>
      </w:r>
      <w:r>
        <w:tab/>
      </w:r>
      <w:r>
        <w:fldChar w:fldCharType="begin"/>
      </w:r>
      <w:r>
        <w:instrText xml:space="preserve"> PAGEREF _Toc503884787 \h </w:instrText>
      </w:r>
      <w:r>
        <w:fldChar w:fldCharType="separate"/>
      </w:r>
      <w:r>
        <w:t>26</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"_Toc503884788" </w:instrText>
      </w:r>
      <w:r>
        <w:fldChar w:fldCharType="separate"/>
      </w:r>
      <w:r>
        <w:rPr>
          <w:rStyle w:val="33"/>
        </w:rPr>
        <w:t xml:space="preserve">8.2 </w:t>
      </w:r>
      <w:r>
        <w:rPr>
          <w:rStyle w:val="33"/>
          <w:rFonts w:hint="eastAsia"/>
        </w:rPr>
        <w:t>施工期环境管理</w:t>
      </w:r>
      <w:r>
        <w:tab/>
      </w:r>
      <w:r>
        <w:fldChar w:fldCharType="begin"/>
      </w:r>
      <w:r>
        <w:instrText xml:space="preserve"> PAGEREF _Toc503884788 \h </w:instrText>
      </w:r>
      <w:r>
        <w:fldChar w:fldCharType="separate"/>
      </w:r>
      <w:r>
        <w:t>26</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"_Toc503884789" </w:instrText>
      </w:r>
      <w:r>
        <w:fldChar w:fldCharType="separate"/>
      </w:r>
      <w:r>
        <w:rPr>
          <w:rStyle w:val="33"/>
        </w:rPr>
        <w:t xml:space="preserve">8.3 </w:t>
      </w:r>
      <w:r>
        <w:rPr>
          <w:rStyle w:val="33"/>
          <w:rFonts w:hint="eastAsia"/>
        </w:rPr>
        <w:t>运行期环境管理</w:t>
      </w:r>
      <w:r>
        <w:tab/>
      </w:r>
      <w:r>
        <w:fldChar w:fldCharType="begin"/>
      </w:r>
      <w:r>
        <w:instrText xml:space="preserve"> PAGEREF _Toc503884789 \h </w:instrText>
      </w:r>
      <w:r>
        <w:fldChar w:fldCharType="separate"/>
      </w:r>
      <w:r>
        <w:t>26</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"_Toc503884790" </w:instrText>
      </w:r>
      <w:r>
        <w:fldChar w:fldCharType="separate"/>
      </w:r>
      <w:r>
        <w:rPr>
          <w:rStyle w:val="33"/>
        </w:rPr>
        <w:t xml:space="preserve">8.4 </w:t>
      </w:r>
      <w:r>
        <w:rPr>
          <w:rStyle w:val="33"/>
          <w:rFonts w:hint="eastAsia"/>
        </w:rPr>
        <w:t>社会环境影响情况调查</w:t>
      </w:r>
      <w:r>
        <w:tab/>
      </w:r>
      <w:r>
        <w:fldChar w:fldCharType="begin"/>
      </w:r>
      <w:r>
        <w:instrText xml:space="preserve"> PAGEREF _Toc503884790 \h </w:instrText>
      </w:r>
      <w:r>
        <w:fldChar w:fldCharType="separate"/>
      </w:r>
      <w:r>
        <w:t>26</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"_Toc503884791" </w:instrText>
      </w:r>
      <w:r>
        <w:fldChar w:fldCharType="separate"/>
      </w:r>
      <w:r>
        <w:rPr>
          <w:rStyle w:val="33"/>
        </w:rPr>
        <w:t xml:space="preserve">8.5 </w:t>
      </w:r>
      <w:r>
        <w:rPr>
          <w:rStyle w:val="33"/>
          <w:rFonts w:hint="eastAsia"/>
        </w:rPr>
        <w:t>环境管理情况分析</w:t>
      </w:r>
      <w:r>
        <w:tab/>
      </w:r>
      <w:r>
        <w:fldChar w:fldCharType="begin"/>
      </w:r>
      <w:r>
        <w:instrText xml:space="preserve"> PAGEREF _Toc503884791 \h </w:instrText>
      </w:r>
      <w:r>
        <w:fldChar w:fldCharType="separate"/>
      </w:r>
      <w:r>
        <w:t>26</w:t>
      </w:r>
      <w:r>
        <w:fldChar w:fldCharType="end"/>
      </w:r>
      <w:r>
        <w:fldChar w:fldCharType="end"/>
      </w:r>
    </w:p>
    <w:p>
      <w:pPr>
        <w:pStyle w:val="22"/>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sz w:val="21"/>
          <w:szCs w:val="22"/>
        </w:rPr>
      </w:pPr>
      <w:r>
        <w:fldChar w:fldCharType="begin"/>
      </w:r>
      <w:r>
        <w:instrText xml:space="preserve"> HYPERLINK \l "_Toc503884792" </w:instrText>
      </w:r>
      <w:r>
        <w:fldChar w:fldCharType="separate"/>
      </w:r>
      <w:r>
        <w:rPr>
          <w:rStyle w:val="33"/>
        </w:rPr>
        <w:t xml:space="preserve">9 </w:t>
      </w:r>
      <w:r>
        <w:rPr>
          <w:rStyle w:val="33"/>
          <w:rFonts w:hint="eastAsia"/>
        </w:rPr>
        <w:t>结论和建议</w:t>
      </w:r>
      <w:r>
        <w:tab/>
      </w:r>
      <w:r>
        <w:fldChar w:fldCharType="begin"/>
      </w:r>
      <w:r>
        <w:instrText xml:space="preserve"> PAGEREF _Toc503884792 \h </w:instrText>
      </w:r>
      <w:r>
        <w:fldChar w:fldCharType="separate"/>
      </w:r>
      <w:r>
        <w:t>27</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"_Toc503884793" </w:instrText>
      </w:r>
      <w:r>
        <w:fldChar w:fldCharType="separate"/>
      </w:r>
      <w:r>
        <w:rPr>
          <w:rStyle w:val="33"/>
        </w:rPr>
        <w:t xml:space="preserve">9.1 </w:t>
      </w:r>
      <w:r>
        <w:rPr>
          <w:rStyle w:val="33"/>
          <w:rFonts w:hint="eastAsia"/>
        </w:rPr>
        <w:t>验收主要结论</w:t>
      </w:r>
      <w:r>
        <w:tab/>
      </w:r>
      <w:r>
        <w:fldChar w:fldCharType="begin"/>
      </w:r>
      <w:r>
        <w:instrText xml:space="preserve"> PAGEREF _Toc503884793 \h </w:instrText>
      </w:r>
      <w:r>
        <w:fldChar w:fldCharType="separate"/>
      </w:r>
      <w:r>
        <w:t>27</w:t>
      </w:r>
      <w:r>
        <w:fldChar w:fldCharType="end"/>
      </w:r>
      <w:r>
        <w:fldChar w:fldCharType="end"/>
      </w:r>
    </w:p>
    <w:p>
      <w:pPr>
        <w:pStyle w:val="25"/>
        <w:pageBreakBefore w:val="0"/>
        <w:tabs>
          <w:tab w:val="right" w:leader="dot" w:pos="8296"/>
        </w:tabs>
        <w:kinsoku/>
        <w:wordWrap/>
        <w:overflowPunct/>
        <w:topLinePunct w:val="0"/>
        <w:autoSpaceDE/>
        <w:autoSpaceDN/>
        <w:bidi w:val="0"/>
        <w:spacing w:line="360" w:lineRule="auto"/>
        <w:ind w:right="0" w:rightChars="0" w:firstLine="0" w:firstLineChars="0"/>
        <w:textAlignment w:val="auto"/>
        <w:outlineLvl w:val="9"/>
        <w:rPr>
          <w:rFonts w:asciiTheme="minorHAnsi" w:hAnsiTheme="minorHAnsi" w:eastAsiaTheme="minorEastAsia" w:cstheme="minorBidi"/>
        </w:rPr>
      </w:pPr>
      <w:r>
        <w:fldChar w:fldCharType="begin"/>
      </w:r>
      <w:r>
        <w:instrText xml:space="preserve"> HYPERLINK \l "_Toc503884794" </w:instrText>
      </w:r>
      <w:r>
        <w:fldChar w:fldCharType="separate"/>
      </w:r>
      <w:r>
        <w:rPr>
          <w:rStyle w:val="33"/>
        </w:rPr>
        <w:t xml:space="preserve">9.2 </w:t>
      </w:r>
      <w:r>
        <w:rPr>
          <w:rStyle w:val="33"/>
          <w:rFonts w:hint="eastAsia"/>
        </w:rPr>
        <w:t>建议</w:t>
      </w:r>
      <w:r>
        <w:tab/>
      </w:r>
      <w:r>
        <w:fldChar w:fldCharType="begin"/>
      </w:r>
      <w:r>
        <w:instrText xml:space="preserve"> PAGEREF _Toc503884794 \h </w:instrText>
      </w:r>
      <w:r>
        <w:fldChar w:fldCharType="separate"/>
      </w:r>
      <w:r>
        <w:t>28</w:t>
      </w:r>
      <w:r>
        <w:fldChar w:fldCharType="end"/>
      </w:r>
      <w:r>
        <w:fldChar w:fldCharType="end"/>
      </w:r>
    </w:p>
    <w:p>
      <w:pPr>
        <w:pStyle w:val="25"/>
        <w:pageBreakBefore w:val="0"/>
        <w:tabs>
          <w:tab w:val="right" w:leader="hyphen" w:pos="8296"/>
        </w:tabs>
        <w:kinsoku/>
        <w:wordWrap/>
        <w:overflowPunct/>
        <w:topLinePunct w:val="0"/>
        <w:autoSpaceDE/>
        <w:autoSpaceDN/>
        <w:bidi w:val="0"/>
        <w:spacing w:line="360" w:lineRule="auto"/>
        <w:ind w:right="0" w:rightChars="0" w:firstLine="0" w:firstLineChars="0"/>
        <w:jc w:val="left"/>
        <w:textAlignment w:val="auto"/>
        <w:outlineLvl w:val="9"/>
        <w:rPr>
          <w:rFonts w:ascii="宋体"/>
        </w:rPr>
      </w:pPr>
      <w:r>
        <w:rPr>
          <w:rFonts w:ascii="宋体" w:hAnsi="宋体"/>
          <w:szCs w:val="24"/>
        </w:rPr>
        <w:fldChar w:fldCharType="end"/>
      </w:r>
    </w:p>
    <w:p>
      <w:pPr>
        <w:spacing w:line="480" w:lineRule="atLeast"/>
        <w:jc w:val="left"/>
        <w:rPr>
          <w:rFonts w:ascii="宋体"/>
          <w:b/>
          <w:sz w:val="30"/>
          <w:szCs w:val="30"/>
        </w:rPr>
      </w:pPr>
    </w:p>
    <w:p>
      <w:pPr>
        <w:spacing w:line="480" w:lineRule="atLeast"/>
        <w:jc w:val="left"/>
        <w:rPr>
          <w:rFonts w:ascii="宋体"/>
          <w:b/>
          <w:sz w:val="30"/>
          <w:szCs w:val="30"/>
        </w:rPr>
      </w:pPr>
      <w:r>
        <w:rPr>
          <w:rFonts w:hint="eastAsia" w:ascii="宋体" w:hAnsi="宋体"/>
          <w:b/>
          <w:sz w:val="30"/>
          <w:szCs w:val="30"/>
        </w:rPr>
        <w:t>附图</w:t>
      </w:r>
    </w:p>
    <w:p>
      <w:pPr>
        <w:spacing w:line="480" w:lineRule="atLeast"/>
        <w:rPr>
          <w:rFonts w:ascii="宋体"/>
          <w:sz w:val="24"/>
          <w:szCs w:val="24"/>
        </w:rPr>
      </w:pPr>
      <w:r>
        <w:rPr>
          <w:rFonts w:ascii="宋体" w:hAnsi="宋体"/>
          <w:sz w:val="24"/>
          <w:szCs w:val="24"/>
        </w:rPr>
        <w:t>1</w:t>
      </w:r>
      <w:r>
        <w:rPr>
          <w:rFonts w:hint="eastAsia" w:ascii="宋体" w:hAnsi="宋体"/>
          <w:sz w:val="24"/>
          <w:szCs w:val="24"/>
        </w:rPr>
        <w:t>、本项目所在地理位置示意图</w:t>
      </w:r>
    </w:p>
    <w:p>
      <w:pPr>
        <w:spacing w:line="480" w:lineRule="atLeast"/>
        <w:rPr>
          <w:rFonts w:ascii="宋体"/>
          <w:sz w:val="24"/>
          <w:szCs w:val="24"/>
        </w:rPr>
      </w:pPr>
      <w:r>
        <w:rPr>
          <w:rFonts w:ascii="宋体" w:hAnsi="宋体"/>
          <w:sz w:val="24"/>
          <w:szCs w:val="24"/>
        </w:rPr>
        <w:t>2</w:t>
      </w:r>
      <w:r>
        <w:rPr>
          <w:rFonts w:hint="eastAsia" w:ascii="宋体" w:hAnsi="宋体"/>
          <w:sz w:val="24"/>
          <w:szCs w:val="24"/>
        </w:rPr>
        <w:t>、本项目</w:t>
      </w:r>
      <w:r>
        <w:rPr>
          <w:rFonts w:hint="eastAsia" w:ascii="宋体" w:hAnsi="宋体"/>
          <w:sz w:val="24"/>
          <w:szCs w:val="24"/>
          <w:lang w:eastAsia="zh-CN"/>
        </w:rPr>
        <w:t>周边关系</w:t>
      </w:r>
      <w:r>
        <w:rPr>
          <w:rFonts w:hint="eastAsia" w:ascii="宋体" w:hAnsi="宋体"/>
          <w:sz w:val="24"/>
          <w:szCs w:val="24"/>
        </w:rPr>
        <w:t>示意图</w:t>
      </w:r>
    </w:p>
    <w:p>
      <w:pPr>
        <w:spacing w:line="480" w:lineRule="atLeast"/>
        <w:rPr>
          <w:rFonts w:ascii="宋体"/>
          <w:sz w:val="24"/>
          <w:szCs w:val="24"/>
        </w:rPr>
      </w:pPr>
      <w:r>
        <w:rPr>
          <w:rFonts w:hint="eastAsia" w:ascii="宋体" w:hAnsi="宋体"/>
          <w:sz w:val="24"/>
          <w:szCs w:val="24"/>
          <w:lang w:val="en-US" w:eastAsia="zh-CN"/>
        </w:rPr>
        <w:t>3</w:t>
      </w:r>
      <w:r>
        <w:rPr>
          <w:rFonts w:hint="eastAsia" w:ascii="宋体" w:hAnsi="宋体"/>
          <w:sz w:val="24"/>
          <w:szCs w:val="24"/>
        </w:rPr>
        <w:t>、本项目</w:t>
      </w:r>
      <w:r>
        <w:rPr>
          <w:rFonts w:hint="eastAsia" w:ascii="宋体" w:hAnsi="宋体"/>
          <w:sz w:val="24"/>
          <w:szCs w:val="24"/>
          <w:lang w:eastAsia="zh-CN"/>
        </w:rPr>
        <w:t>平面布置</w:t>
      </w:r>
      <w:r>
        <w:rPr>
          <w:rFonts w:hint="eastAsia" w:ascii="宋体" w:hAnsi="宋体"/>
          <w:sz w:val="24"/>
          <w:szCs w:val="24"/>
        </w:rPr>
        <w:t>图</w:t>
      </w:r>
    </w:p>
    <w:p/>
    <w:p>
      <w:pPr>
        <w:spacing w:line="480" w:lineRule="atLeast"/>
        <w:jc w:val="left"/>
        <w:rPr>
          <w:rFonts w:ascii="宋体"/>
          <w:b/>
          <w:sz w:val="30"/>
          <w:szCs w:val="30"/>
        </w:rPr>
      </w:pPr>
      <w:r>
        <w:rPr>
          <w:rFonts w:hint="eastAsia" w:ascii="宋体" w:hAnsi="宋体"/>
          <w:b/>
          <w:sz w:val="30"/>
          <w:szCs w:val="30"/>
        </w:rPr>
        <w:t>附件</w:t>
      </w:r>
    </w:p>
    <w:p>
      <w:pPr>
        <w:spacing w:line="480" w:lineRule="atLeast"/>
        <w:rPr>
          <w:rFonts w:ascii="宋体"/>
          <w:sz w:val="24"/>
          <w:szCs w:val="24"/>
        </w:rPr>
      </w:pPr>
      <w:r>
        <w:rPr>
          <w:rFonts w:ascii="宋体" w:hAnsi="宋体"/>
          <w:sz w:val="24"/>
          <w:szCs w:val="24"/>
        </w:rPr>
        <w:t>1</w:t>
      </w:r>
      <w:r>
        <w:rPr>
          <w:rFonts w:hint="eastAsia" w:ascii="宋体" w:hAnsi="宋体"/>
          <w:sz w:val="24"/>
          <w:szCs w:val="24"/>
        </w:rPr>
        <w:t>、环评审批意见</w:t>
      </w:r>
    </w:p>
    <w:p>
      <w:pPr>
        <w:spacing w:line="480" w:lineRule="atLeast"/>
        <w:rPr>
          <w:rFonts w:ascii="宋体"/>
          <w:sz w:val="24"/>
          <w:szCs w:val="24"/>
        </w:rPr>
      </w:pPr>
      <w:r>
        <w:rPr>
          <w:rFonts w:ascii="宋体" w:hAnsi="宋体"/>
          <w:sz w:val="24"/>
          <w:szCs w:val="24"/>
        </w:rPr>
        <w:t>2</w:t>
      </w:r>
      <w:r>
        <w:rPr>
          <w:rFonts w:hint="eastAsia" w:ascii="宋体" w:hAnsi="宋体"/>
          <w:sz w:val="24"/>
          <w:szCs w:val="24"/>
        </w:rPr>
        <w:t>、营业执照</w:t>
      </w:r>
    </w:p>
    <w:p>
      <w:pPr>
        <w:spacing w:line="480" w:lineRule="atLeast"/>
        <w:rPr>
          <w:rFonts w:ascii="宋体"/>
          <w:sz w:val="24"/>
          <w:szCs w:val="24"/>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ascii="宋体" w:hAnsi="宋体"/>
          <w:sz w:val="24"/>
          <w:szCs w:val="24"/>
        </w:rPr>
        <w:t>3</w:t>
      </w:r>
      <w:r>
        <w:rPr>
          <w:rFonts w:hint="eastAsia" w:ascii="宋体" w:hAnsi="宋体"/>
          <w:sz w:val="24"/>
          <w:szCs w:val="24"/>
        </w:rPr>
        <w:t>、</w:t>
      </w:r>
      <w:r>
        <w:rPr>
          <w:rFonts w:hint="eastAsia" w:ascii="宋体" w:hAnsi="宋体"/>
          <w:sz w:val="24"/>
          <w:szCs w:val="24"/>
          <w:lang w:eastAsia="zh-CN"/>
        </w:rPr>
        <w:t>危废处置合同</w:t>
      </w:r>
    </w:p>
    <w:p>
      <w:pPr>
        <w:pStyle w:val="3"/>
        <w:jc w:val="center"/>
      </w:pPr>
      <w:bookmarkStart w:id="3" w:name="_Toc503884725"/>
      <w:r>
        <w:rPr>
          <w:rFonts w:hint="eastAsia"/>
        </w:rPr>
        <w:t>前</w:t>
      </w:r>
      <w:r>
        <w:t xml:space="preserve">  </w:t>
      </w:r>
      <w:r>
        <w:rPr>
          <w:rFonts w:hint="eastAsia"/>
        </w:rPr>
        <w:t>言</w:t>
      </w:r>
      <w:bookmarkEnd w:id="3"/>
    </w:p>
    <w:p>
      <w:pPr>
        <w:spacing w:line="440" w:lineRule="atLeast"/>
        <w:ind w:firstLine="480" w:firstLineChars="200"/>
        <w:rPr>
          <w:rFonts w:hint="default" w:ascii="Times New Roman" w:hAnsi="Times New Roman" w:cs="Times New Roman"/>
          <w:sz w:val="24"/>
          <w:szCs w:val="24"/>
        </w:rPr>
      </w:pPr>
      <w:r>
        <w:rPr>
          <w:rFonts w:hint="default" w:ascii="Times New Roman" w:hAnsi="Times New Roman" w:cs="Times New Roman"/>
          <w:color w:val="000000"/>
          <w:sz w:val="24"/>
          <w:szCs w:val="24"/>
        </w:rPr>
        <w:t>唐山正元管业有限公司成立于2009年，厂址位于唐山市丰南区河北丰南临港经济开发区内，是一家从事热镀锌钢管生产的企业。为适应市场形势，公司决定投资5000.18万元，在现有厂区东部实施建设焊管生产线项目，新建60焊管机组生产线2条、重76焊管机组生产线1条、重114焊管机组生产线1条及相关配套设备等，项目实施后具备年产高频直缝焊管40万吨的生产能力，该项目已经由唐山市丰南区发展改革局备案(丰发改投资备字[2017]83号)。</w:t>
      </w:r>
      <w:bookmarkStart w:id="4" w:name="_Hlk496987392"/>
      <w:r>
        <w:rPr>
          <w:rFonts w:hint="eastAsia" w:ascii="Times New Roman" w:hAnsi="Times New Roman" w:cs="Times New Roman"/>
          <w:sz w:val="24"/>
          <w:szCs w:val="24"/>
          <w:highlight w:val="none"/>
          <w:lang w:eastAsia="zh-CN"/>
        </w:rPr>
        <w:t>河北省众联能源环保科技有限公司于</w:t>
      </w:r>
      <w:r>
        <w:rPr>
          <w:rFonts w:hint="eastAsia" w:ascii="Times New Roman" w:hAnsi="Times New Roman" w:cs="Times New Roman"/>
          <w:sz w:val="24"/>
          <w:szCs w:val="24"/>
          <w:highlight w:val="none"/>
          <w:lang w:val="en-US" w:eastAsia="zh-CN"/>
        </w:rPr>
        <w:t>2017年8月</w:t>
      </w:r>
      <w:r>
        <w:rPr>
          <w:rFonts w:hint="default" w:ascii="Times New Roman" w:hAnsi="Times New Roman" w:cs="Times New Roman"/>
          <w:sz w:val="24"/>
          <w:szCs w:val="24"/>
          <w:highlight w:val="none"/>
        </w:rPr>
        <w:t>编制</w:t>
      </w:r>
      <w:r>
        <w:rPr>
          <w:rFonts w:hint="eastAsia" w:ascii="Times New Roman" w:hAnsi="Times New Roman" w:cs="Times New Roman"/>
          <w:sz w:val="24"/>
          <w:szCs w:val="24"/>
          <w:highlight w:val="none"/>
          <w:lang w:eastAsia="zh-CN"/>
        </w:rPr>
        <w:t>完成了</w:t>
      </w:r>
      <w:r>
        <w:rPr>
          <w:rFonts w:hint="default" w:ascii="Times New Roman" w:hAnsi="Times New Roman" w:cs="Times New Roman"/>
          <w:color w:val="000000"/>
          <w:sz w:val="24"/>
          <w:szCs w:val="24"/>
        </w:rPr>
        <w:t>《唐山正元管业有限公司建设焊管生产线项目环境影响报告表》，</w:t>
      </w:r>
      <w:r>
        <w:rPr>
          <w:rFonts w:hint="eastAsia" w:ascii="Times New Roman" w:hAnsi="Times New Roman" w:cs="Times New Roman"/>
          <w:sz w:val="24"/>
          <w:szCs w:val="24"/>
          <w:lang w:eastAsia="zh-CN"/>
        </w:rPr>
        <w:t>并</w:t>
      </w:r>
      <w:r>
        <w:rPr>
          <w:rFonts w:hint="default" w:ascii="Times New Roman" w:hAnsi="Times New Roman" w:cs="Times New Roman"/>
          <w:sz w:val="24"/>
          <w:szCs w:val="24"/>
        </w:rPr>
        <w:t>于201</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rPr>
        <w:t>日</w:t>
      </w:r>
      <w:bookmarkStart w:id="5" w:name="_Hlk496980272"/>
      <w:r>
        <w:rPr>
          <w:rFonts w:hint="eastAsia" w:ascii="Times New Roman" w:hAnsi="Times New Roman" w:cs="Times New Roman"/>
          <w:sz w:val="24"/>
          <w:szCs w:val="24"/>
          <w:lang w:eastAsia="zh-CN"/>
        </w:rPr>
        <w:t>取得了唐山市丰南区</w:t>
      </w:r>
      <w:r>
        <w:rPr>
          <w:rFonts w:hint="default" w:ascii="Times New Roman" w:hAnsi="Times New Roman" w:cs="Times New Roman"/>
          <w:sz w:val="24"/>
          <w:szCs w:val="24"/>
        </w:rPr>
        <w:t>环境保护局</w:t>
      </w:r>
      <w:r>
        <w:rPr>
          <w:rFonts w:hint="eastAsia" w:ascii="Times New Roman" w:hAnsi="Times New Roman" w:cs="Times New Roman"/>
          <w:sz w:val="24"/>
          <w:szCs w:val="24"/>
          <w:lang w:eastAsia="zh-CN"/>
        </w:rPr>
        <w:t>的</w:t>
      </w:r>
      <w:r>
        <w:rPr>
          <w:rFonts w:hint="default" w:ascii="Times New Roman" w:hAnsi="Times New Roman" w:cs="Times New Roman"/>
          <w:sz w:val="24"/>
          <w:szCs w:val="24"/>
        </w:rPr>
        <w:t>审批</w:t>
      </w:r>
      <w:r>
        <w:rPr>
          <w:rFonts w:hint="eastAsia" w:ascii="Times New Roman" w:hAnsi="Times New Roman" w:cs="Times New Roman"/>
          <w:sz w:val="24"/>
          <w:szCs w:val="24"/>
          <w:lang w:eastAsia="zh-CN"/>
        </w:rPr>
        <w:t>意见，丰环表</w:t>
      </w:r>
      <w:r>
        <w:rPr>
          <w:rFonts w:hint="eastAsia" w:ascii="Times New Roman" w:hAnsi="Times New Roman" w:cs="Times New Roman"/>
          <w:sz w:val="24"/>
          <w:szCs w:val="24"/>
          <w:lang w:val="en-US" w:eastAsia="zh-CN"/>
        </w:rPr>
        <w:t>[2017]103号</w:t>
      </w:r>
      <w:r>
        <w:rPr>
          <w:rFonts w:hint="default" w:ascii="Times New Roman" w:hAnsi="Times New Roman" w:cs="Times New Roman"/>
          <w:sz w:val="24"/>
          <w:szCs w:val="24"/>
        </w:rPr>
        <w:t>。</w:t>
      </w:r>
    </w:p>
    <w:bookmarkEnd w:id="4"/>
    <w:bookmarkEnd w:id="5"/>
    <w:p>
      <w:pPr>
        <w:spacing w:line="440" w:lineRule="atLeast"/>
        <w:ind w:firstLine="480" w:firstLineChars="200"/>
        <w:rPr>
          <w:rFonts w:hint="default" w:ascii="Times New Roman" w:hAnsi="Times New Roman" w:eastAsia="宋体" w:cs="Times New Roman"/>
          <w:color w:val="000000"/>
          <w:sz w:val="24"/>
          <w:szCs w:val="24"/>
        </w:rPr>
      </w:pPr>
      <w:r>
        <w:rPr>
          <w:rFonts w:hint="default" w:ascii="Times New Roman" w:hAnsi="Times New Roman" w:cs="Times New Roman"/>
          <w:color w:val="000000"/>
          <w:sz w:val="24"/>
          <w:szCs w:val="24"/>
        </w:rPr>
        <w:t>唐山正元管业有限公司建设焊管生产线项目已建设完成并</w:t>
      </w:r>
      <w:r>
        <w:rPr>
          <w:rFonts w:hint="eastAsia" w:ascii="Times New Roman" w:hAnsi="Times New Roman" w:cs="Times New Roman"/>
          <w:color w:val="000000"/>
          <w:sz w:val="24"/>
          <w:szCs w:val="24"/>
          <w:lang w:eastAsia="zh-CN"/>
        </w:rPr>
        <w:t>进入调试阶段</w:t>
      </w:r>
      <w:r>
        <w:rPr>
          <w:rFonts w:hint="default" w:ascii="Times New Roman" w:hAnsi="Times New Roman" w:cs="Times New Roman"/>
          <w:color w:val="000000"/>
          <w:sz w:val="24"/>
          <w:szCs w:val="24"/>
        </w:rPr>
        <w:t>，</w:t>
      </w:r>
      <w:r>
        <w:rPr>
          <w:rFonts w:hint="default" w:ascii="Times New Roman" w:hAnsi="Times New Roman" w:eastAsia="宋体" w:cs="Times New Roman"/>
          <w:bCs/>
          <w:color w:val="000000"/>
          <w:sz w:val="24"/>
        </w:rPr>
        <w:t>根据《建设项目环境保护</w:t>
      </w:r>
      <w:r>
        <w:rPr>
          <w:rFonts w:hint="default" w:ascii="Times New Roman" w:hAnsi="Times New Roman" w:eastAsia="宋体" w:cs="Times New Roman"/>
          <w:bCs/>
          <w:sz w:val="24"/>
        </w:rPr>
        <w:t>管理条例》（国务院第</w:t>
      </w:r>
      <w:r>
        <w:rPr>
          <w:rFonts w:hint="default" w:ascii="Times New Roman" w:hAnsi="Times New Roman" w:eastAsia="宋体" w:cs="Times New Roman"/>
          <w:bCs/>
          <w:sz w:val="24"/>
          <w:lang w:val="en-US" w:eastAsia="zh-CN"/>
        </w:rPr>
        <w:t>682</w:t>
      </w:r>
      <w:r>
        <w:rPr>
          <w:rFonts w:hint="default" w:ascii="Times New Roman" w:hAnsi="Times New Roman" w:eastAsia="宋体" w:cs="Times New Roman"/>
          <w:bCs/>
          <w:sz w:val="24"/>
        </w:rPr>
        <w:t>号令）、《建设项目竣工环境保护验收</w:t>
      </w:r>
      <w:r>
        <w:rPr>
          <w:rFonts w:hint="default" w:ascii="Times New Roman" w:hAnsi="Times New Roman" w:eastAsia="宋体" w:cs="Times New Roman"/>
          <w:bCs/>
          <w:sz w:val="24"/>
          <w:lang w:eastAsia="zh-CN"/>
        </w:rPr>
        <w:t>暂行</w:t>
      </w:r>
      <w:r>
        <w:rPr>
          <w:rFonts w:hint="default" w:ascii="Times New Roman" w:hAnsi="Times New Roman" w:eastAsia="宋体" w:cs="Times New Roman"/>
          <w:bCs/>
          <w:sz w:val="24"/>
        </w:rPr>
        <w:t>办法》（国</w:t>
      </w:r>
      <w:r>
        <w:rPr>
          <w:rFonts w:hint="default" w:ascii="Times New Roman" w:hAnsi="Times New Roman" w:eastAsia="宋体" w:cs="Times New Roman"/>
          <w:bCs/>
          <w:sz w:val="24"/>
          <w:lang w:eastAsia="zh-CN"/>
        </w:rPr>
        <w:t>环规环评</w:t>
      </w:r>
      <w:r>
        <w:rPr>
          <w:rFonts w:hint="default" w:ascii="Times New Roman" w:hAnsi="Times New Roman" w:eastAsia="宋体" w:cs="Times New Roman"/>
          <w:bCs/>
          <w:sz w:val="24"/>
          <w:lang w:val="en-US" w:eastAsia="zh-CN"/>
        </w:rPr>
        <w:t>[2017]4号）</w:t>
      </w:r>
      <w:r>
        <w:rPr>
          <w:rFonts w:hint="default" w:ascii="Times New Roman" w:hAnsi="Times New Roman" w:eastAsia="宋体" w:cs="Times New Roman"/>
          <w:bCs/>
          <w:sz w:val="24"/>
        </w:rPr>
        <w:t>的有关规定</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eastAsia="zh-CN"/>
        </w:rPr>
        <w:t>受</w:t>
      </w:r>
      <w:r>
        <w:rPr>
          <w:rFonts w:hint="default" w:ascii="Times New Roman" w:hAnsi="Times New Roman" w:cs="Times New Roman"/>
          <w:color w:val="000000"/>
          <w:sz w:val="24"/>
          <w:szCs w:val="24"/>
        </w:rPr>
        <w:t>唐山正元管业有限公司</w:t>
      </w:r>
      <w:r>
        <w:rPr>
          <w:rFonts w:hint="default" w:ascii="Times New Roman" w:hAnsi="Times New Roman" w:eastAsia="宋体" w:cs="Times New Roman"/>
          <w:color w:val="000000"/>
          <w:sz w:val="24"/>
        </w:rPr>
        <w:t>的委托，</w:t>
      </w:r>
      <w:r>
        <w:rPr>
          <w:rFonts w:hint="default" w:ascii="Times New Roman" w:hAnsi="Times New Roman" w:eastAsia="宋体" w:cs="Times New Roman"/>
          <w:color w:val="000000"/>
          <w:sz w:val="24"/>
          <w:szCs w:val="24"/>
        </w:rPr>
        <w:t>沧州燕赵环境监测技术服务有限公司</w:t>
      </w:r>
      <w:r>
        <w:rPr>
          <w:rFonts w:hint="default" w:ascii="Times New Roman" w:hAnsi="Times New Roman" w:eastAsia="宋体" w:cs="Times New Roman"/>
          <w:sz w:val="24"/>
          <w:szCs w:val="24"/>
        </w:rPr>
        <w:t>于201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01</w:t>
      </w:r>
      <w:r>
        <w:rPr>
          <w:rFonts w:hint="default" w:ascii="Times New Roman" w:hAnsi="Times New Roman" w:eastAsia="宋体" w:cs="Times New Roman"/>
          <w:sz w:val="24"/>
          <w:szCs w:val="24"/>
        </w:rPr>
        <w:t>月</w:t>
      </w:r>
      <w:r>
        <w:rPr>
          <w:rFonts w:hint="eastAsia" w:ascii="Times New Roman" w:hAnsi="Times New Roman" w:cs="Times New Roman"/>
          <w:sz w:val="24"/>
          <w:szCs w:val="24"/>
          <w:lang w:val="en-US" w:eastAsia="zh-CN"/>
        </w:rPr>
        <w:t>30</w:t>
      </w:r>
      <w:r>
        <w:rPr>
          <w:rFonts w:hint="default" w:ascii="Times New Roman" w:hAnsi="Times New Roman" w:eastAsia="宋体" w:cs="Times New Roman"/>
          <w:sz w:val="24"/>
          <w:szCs w:val="24"/>
        </w:rPr>
        <w:t>日至</w:t>
      </w:r>
      <w:r>
        <w:rPr>
          <w:rFonts w:hint="eastAsia" w:ascii="Times New Roman" w:hAnsi="Times New Roman" w:cs="Times New Roman"/>
          <w:sz w:val="24"/>
          <w:szCs w:val="24"/>
          <w:lang w:val="en-US" w:eastAsia="zh-CN"/>
        </w:rPr>
        <w:t>31</w:t>
      </w:r>
      <w:r>
        <w:rPr>
          <w:rFonts w:hint="default" w:ascii="Times New Roman" w:hAnsi="Times New Roman" w:eastAsia="宋体" w:cs="Times New Roman"/>
          <w:sz w:val="24"/>
          <w:szCs w:val="24"/>
        </w:rPr>
        <w:t>日对</w:t>
      </w:r>
      <w:r>
        <w:rPr>
          <w:rFonts w:hint="default" w:ascii="Times New Roman" w:hAnsi="Times New Roman" w:eastAsia="宋体" w:cs="Times New Roman"/>
          <w:sz w:val="24"/>
          <w:szCs w:val="24"/>
          <w:lang w:eastAsia="zh-CN"/>
        </w:rPr>
        <w:t>项目污染物排放情况</w:t>
      </w:r>
      <w:r>
        <w:rPr>
          <w:rFonts w:hint="default" w:ascii="Times New Roman" w:hAnsi="Times New Roman" w:eastAsia="宋体" w:cs="Times New Roman"/>
          <w:sz w:val="24"/>
          <w:szCs w:val="24"/>
        </w:rPr>
        <w:t>进行了环保验收监测，依据监测结果编制了项目竣工环保验收监测报告，</w:t>
      </w:r>
      <w:r>
        <w:rPr>
          <w:rFonts w:hint="default" w:ascii="Times New Roman" w:hAnsi="Times New Roman" w:eastAsia="宋体" w:cs="Times New Roman"/>
          <w:color w:val="000000"/>
          <w:sz w:val="24"/>
          <w:szCs w:val="24"/>
        </w:rPr>
        <w:t>为其竣工验收提供科学依据。</w:t>
      </w:r>
    </w:p>
    <w:p>
      <w:pPr>
        <w:spacing w:line="440" w:lineRule="atLeast"/>
        <w:ind w:firstLine="480" w:firstLineChars="200"/>
        <w:rPr>
          <w:rFonts w:ascii="宋体"/>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3"/>
      </w:pPr>
      <w:bookmarkStart w:id="6" w:name="_Toc503884726"/>
      <w:r>
        <w:t xml:space="preserve">1 </w:t>
      </w:r>
      <w:r>
        <w:rPr>
          <w:rFonts w:hint="eastAsia"/>
        </w:rPr>
        <w:t>验收编制依据</w:t>
      </w:r>
      <w:bookmarkEnd w:id="6"/>
    </w:p>
    <w:p>
      <w:pPr>
        <w:pStyle w:val="4"/>
      </w:pPr>
      <w:bookmarkStart w:id="7" w:name="_Toc503884727"/>
      <w:r>
        <w:t xml:space="preserve">1.1 </w:t>
      </w:r>
      <w:r>
        <w:rPr>
          <w:rFonts w:hint="eastAsia"/>
        </w:rPr>
        <w:t>法律、法规</w:t>
      </w:r>
      <w:bookmarkEnd w:id="7"/>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）《中华人民共和国环境保护法》，（</w:t>
      </w:r>
      <w:r>
        <w:rPr>
          <w:rFonts w:ascii="宋体" w:hAnsi="宋体"/>
          <w:sz w:val="24"/>
          <w:szCs w:val="24"/>
        </w:rPr>
        <w:t>2015</w:t>
      </w:r>
      <w:r>
        <w:rPr>
          <w:rFonts w:hint="eastAsia" w:ascii="宋体" w:hAnsi="宋体"/>
          <w:sz w:val="24"/>
          <w:szCs w:val="24"/>
        </w:rPr>
        <w:t>年</w:t>
      </w:r>
      <w:r>
        <w:rPr>
          <w:rFonts w:ascii="宋体" w:hAnsi="宋体"/>
          <w:sz w:val="24"/>
          <w:szCs w:val="24"/>
        </w:rPr>
        <w:t>1</w:t>
      </w:r>
      <w:r>
        <w:rPr>
          <w:rFonts w:hint="eastAsia" w:ascii="宋体" w:hAnsi="宋体"/>
          <w:sz w:val="24"/>
          <w:szCs w:val="24"/>
        </w:rPr>
        <w:t>月</w:t>
      </w:r>
      <w:r>
        <w:rPr>
          <w:rFonts w:ascii="宋体" w:hAnsi="宋体"/>
          <w:sz w:val="24"/>
          <w:szCs w:val="24"/>
        </w:rPr>
        <w:t>1</w:t>
      </w:r>
      <w:r>
        <w:rPr>
          <w:rFonts w:hint="eastAsia" w:ascii="宋体" w:hAnsi="宋体"/>
          <w:sz w:val="24"/>
          <w:szCs w:val="24"/>
        </w:rPr>
        <w:t>日起施行）；</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）《中华人民共和国环境影响评价法》，（</w:t>
      </w:r>
      <w:r>
        <w:rPr>
          <w:rFonts w:ascii="宋体" w:hAnsi="宋体"/>
          <w:sz w:val="24"/>
          <w:szCs w:val="24"/>
        </w:rPr>
        <w:t>2016</w:t>
      </w:r>
      <w:r>
        <w:rPr>
          <w:rFonts w:hint="eastAsia" w:ascii="宋体" w:hAnsi="宋体"/>
          <w:sz w:val="24"/>
          <w:szCs w:val="24"/>
        </w:rPr>
        <w:t>年</w:t>
      </w:r>
      <w:r>
        <w:rPr>
          <w:rFonts w:ascii="宋体" w:hAnsi="宋体"/>
          <w:sz w:val="24"/>
          <w:szCs w:val="24"/>
        </w:rPr>
        <w:t>9</w:t>
      </w:r>
      <w:r>
        <w:rPr>
          <w:rFonts w:hint="eastAsia" w:ascii="宋体" w:hAnsi="宋体"/>
          <w:sz w:val="24"/>
          <w:szCs w:val="24"/>
        </w:rPr>
        <w:t>月</w:t>
      </w:r>
      <w:r>
        <w:rPr>
          <w:rFonts w:ascii="宋体" w:hAnsi="宋体"/>
          <w:sz w:val="24"/>
          <w:szCs w:val="24"/>
        </w:rPr>
        <w:t>1</w:t>
      </w:r>
      <w:r>
        <w:rPr>
          <w:rFonts w:hint="eastAsia" w:ascii="宋体" w:hAnsi="宋体"/>
          <w:sz w:val="24"/>
          <w:szCs w:val="24"/>
        </w:rPr>
        <w:t>日起施行）；</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）《中华人民共和国水污染防治法》（</w:t>
      </w:r>
      <w:r>
        <w:rPr>
          <w:rFonts w:ascii="宋体" w:hAnsi="宋体"/>
          <w:sz w:val="24"/>
          <w:szCs w:val="24"/>
        </w:rPr>
        <w:t>20</w:t>
      </w:r>
      <w:r>
        <w:rPr>
          <w:rFonts w:hint="eastAsia" w:ascii="宋体" w:hAnsi="宋体"/>
          <w:sz w:val="24"/>
          <w:szCs w:val="24"/>
          <w:lang w:val="en-US" w:eastAsia="zh-CN"/>
        </w:rPr>
        <w:t>1</w:t>
      </w:r>
      <w:r>
        <w:rPr>
          <w:rFonts w:ascii="宋体" w:hAnsi="宋体"/>
          <w:sz w:val="24"/>
          <w:szCs w:val="24"/>
        </w:rPr>
        <w:t>8</w:t>
      </w:r>
      <w:r>
        <w:rPr>
          <w:rFonts w:hint="eastAsia" w:ascii="宋体" w:hAnsi="宋体"/>
          <w:sz w:val="24"/>
          <w:szCs w:val="24"/>
        </w:rPr>
        <w:t>年</w:t>
      </w:r>
      <w:r>
        <w:rPr>
          <w:rFonts w:hint="eastAsia" w:ascii="宋体" w:hAnsi="宋体"/>
          <w:sz w:val="24"/>
          <w:szCs w:val="24"/>
          <w:lang w:val="en-US" w:eastAsia="zh-CN"/>
        </w:rPr>
        <w:t>1</w:t>
      </w:r>
      <w:r>
        <w:rPr>
          <w:rFonts w:hint="eastAsia" w:ascii="宋体" w:hAnsi="宋体"/>
          <w:sz w:val="24"/>
          <w:szCs w:val="24"/>
        </w:rPr>
        <w:t>月</w:t>
      </w:r>
      <w:r>
        <w:rPr>
          <w:rFonts w:ascii="宋体" w:hAnsi="宋体"/>
          <w:sz w:val="24"/>
          <w:szCs w:val="24"/>
        </w:rPr>
        <w:t>1</w:t>
      </w:r>
      <w:r>
        <w:rPr>
          <w:rFonts w:hint="eastAsia" w:ascii="宋体" w:hAnsi="宋体"/>
          <w:sz w:val="24"/>
          <w:szCs w:val="24"/>
        </w:rPr>
        <w:t>日起施行）；</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）《中华人民共和国大气污染防治法》，（</w:t>
      </w:r>
      <w:r>
        <w:rPr>
          <w:rFonts w:ascii="宋体" w:hAnsi="宋体"/>
          <w:sz w:val="24"/>
          <w:szCs w:val="24"/>
        </w:rPr>
        <w:t xml:space="preserve"> 2016</w:t>
      </w:r>
      <w:r>
        <w:rPr>
          <w:rFonts w:hint="eastAsia" w:ascii="宋体" w:hAnsi="宋体"/>
          <w:sz w:val="24"/>
          <w:szCs w:val="24"/>
        </w:rPr>
        <w:t>年</w:t>
      </w:r>
      <w:r>
        <w:rPr>
          <w:rFonts w:ascii="宋体" w:hAnsi="宋体"/>
          <w:sz w:val="24"/>
          <w:szCs w:val="24"/>
        </w:rPr>
        <w:t>1</w:t>
      </w:r>
      <w:r>
        <w:rPr>
          <w:rFonts w:hint="eastAsia" w:ascii="宋体" w:hAnsi="宋体"/>
          <w:sz w:val="24"/>
          <w:szCs w:val="24"/>
        </w:rPr>
        <w:t>月</w:t>
      </w:r>
      <w:r>
        <w:rPr>
          <w:rFonts w:ascii="宋体" w:hAnsi="宋体"/>
          <w:sz w:val="24"/>
          <w:szCs w:val="24"/>
        </w:rPr>
        <w:t>1</w:t>
      </w:r>
      <w:r>
        <w:rPr>
          <w:rFonts w:hint="eastAsia" w:ascii="宋体" w:hAnsi="宋体"/>
          <w:sz w:val="24"/>
          <w:szCs w:val="24"/>
        </w:rPr>
        <w:t>日施行）；</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）《中华人民共和国环境噪声污染防治法》，（</w:t>
      </w:r>
      <w:r>
        <w:rPr>
          <w:rFonts w:ascii="宋体" w:hAnsi="宋体"/>
          <w:sz w:val="24"/>
          <w:szCs w:val="24"/>
        </w:rPr>
        <w:t>1997</w:t>
      </w:r>
      <w:r>
        <w:rPr>
          <w:rFonts w:hint="eastAsia" w:ascii="宋体" w:hAnsi="宋体"/>
          <w:sz w:val="24"/>
          <w:szCs w:val="24"/>
        </w:rPr>
        <w:t>年</w:t>
      </w:r>
      <w:r>
        <w:rPr>
          <w:rFonts w:ascii="宋体" w:hAnsi="宋体"/>
          <w:sz w:val="24"/>
          <w:szCs w:val="24"/>
        </w:rPr>
        <w:t>3</w:t>
      </w:r>
      <w:r>
        <w:rPr>
          <w:rFonts w:hint="eastAsia" w:ascii="宋体" w:hAnsi="宋体"/>
          <w:sz w:val="24"/>
          <w:szCs w:val="24"/>
        </w:rPr>
        <w:t>月</w:t>
      </w:r>
      <w:r>
        <w:rPr>
          <w:rFonts w:ascii="宋体" w:hAnsi="宋体"/>
          <w:sz w:val="24"/>
          <w:szCs w:val="24"/>
        </w:rPr>
        <w:t>1</w:t>
      </w:r>
      <w:r>
        <w:rPr>
          <w:rFonts w:hint="eastAsia" w:ascii="宋体" w:hAnsi="宋体"/>
          <w:sz w:val="24"/>
          <w:szCs w:val="24"/>
        </w:rPr>
        <w:t>日起施行）；</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）《中华人民共和国固体废物污染环境防治法》，</w:t>
      </w:r>
      <w:r>
        <w:rPr>
          <w:rFonts w:ascii="宋体" w:hAnsi="宋体"/>
          <w:sz w:val="24"/>
          <w:szCs w:val="24"/>
        </w:rPr>
        <w:t>2015</w:t>
      </w:r>
      <w:r>
        <w:rPr>
          <w:rFonts w:hint="eastAsia" w:ascii="宋体" w:hAnsi="宋体"/>
          <w:sz w:val="24"/>
          <w:szCs w:val="24"/>
        </w:rPr>
        <w:t>年</w:t>
      </w:r>
      <w:r>
        <w:rPr>
          <w:rFonts w:ascii="宋体" w:hAnsi="宋体"/>
          <w:sz w:val="24"/>
          <w:szCs w:val="24"/>
        </w:rPr>
        <w:t>4</w:t>
      </w:r>
      <w:r>
        <w:rPr>
          <w:rFonts w:hint="eastAsia" w:ascii="宋体" w:hAnsi="宋体"/>
          <w:sz w:val="24"/>
          <w:szCs w:val="24"/>
        </w:rPr>
        <w:t>月</w:t>
      </w:r>
      <w:r>
        <w:rPr>
          <w:rFonts w:ascii="宋体" w:hAnsi="宋体"/>
          <w:sz w:val="24"/>
          <w:szCs w:val="24"/>
        </w:rPr>
        <w:t>1</w:t>
      </w:r>
      <w:r>
        <w:rPr>
          <w:rFonts w:hint="eastAsia" w:ascii="宋体" w:hAnsi="宋体"/>
          <w:sz w:val="24"/>
          <w:szCs w:val="24"/>
        </w:rPr>
        <w:t>日起施行）；</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）《建设项目环境保护管理条例》，（</w:t>
      </w:r>
      <w:r>
        <w:rPr>
          <w:rFonts w:ascii="宋体" w:hAnsi="宋体"/>
          <w:sz w:val="24"/>
          <w:szCs w:val="24"/>
        </w:rPr>
        <w:t>2017</w:t>
      </w:r>
      <w:r>
        <w:rPr>
          <w:rFonts w:hint="eastAsia" w:ascii="宋体" w:hAnsi="宋体"/>
          <w:sz w:val="24"/>
          <w:szCs w:val="24"/>
        </w:rPr>
        <w:t>年</w:t>
      </w:r>
      <w:r>
        <w:rPr>
          <w:rFonts w:ascii="宋体" w:hAnsi="宋体"/>
          <w:sz w:val="24"/>
          <w:szCs w:val="24"/>
        </w:rPr>
        <w:t>10</w:t>
      </w:r>
      <w:r>
        <w:rPr>
          <w:rFonts w:hint="eastAsia" w:ascii="宋体" w:hAnsi="宋体"/>
          <w:sz w:val="24"/>
          <w:szCs w:val="24"/>
        </w:rPr>
        <w:t>月</w:t>
      </w:r>
      <w:r>
        <w:rPr>
          <w:rFonts w:ascii="宋体" w:hAnsi="宋体"/>
          <w:sz w:val="24"/>
          <w:szCs w:val="24"/>
        </w:rPr>
        <w:t>1</w:t>
      </w:r>
      <w:r>
        <w:rPr>
          <w:rFonts w:hint="eastAsia" w:ascii="宋体" w:hAnsi="宋体"/>
          <w:sz w:val="24"/>
          <w:szCs w:val="24"/>
        </w:rPr>
        <w:t>日起施行）；</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8</w:t>
      </w:r>
      <w:r>
        <w:rPr>
          <w:rFonts w:hint="eastAsia" w:ascii="宋体" w:hAnsi="宋体"/>
          <w:sz w:val="24"/>
          <w:szCs w:val="24"/>
        </w:rPr>
        <w:t>）《建设项目环境影响评价分类管理名录》（</w:t>
      </w:r>
      <w:r>
        <w:rPr>
          <w:rFonts w:ascii="宋体" w:hAnsi="宋体"/>
          <w:sz w:val="24"/>
          <w:szCs w:val="24"/>
        </w:rPr>
        <w:t>2017</w:t>
      </w:r>
      <w:r>
        <w:rPr>
          <w:rFonts w:hint="eastAsia" w:ascii="宋体" w:hAnsi="宋体"/>
          <w:sz w:val="24"/>
          <w:szCs w:val="24"/>
        </w:rPr>
        <w:t>年</w:t>
      </w:r>
      <w:r>
        <w:rPr>
          <w:rFonts w:ascii="宋体" w:hAnsi="宋体"/>
          <w:sz w:val="24"/>
          <w:szCs w:val="24"/>
        </w:rPr>
        <w:t>9</w:t>
      </w:r>
      <w:r>
        <w:rPr>
          <w:rFonts w:hint="eastAsia" w:ascii="宋体" w:hAnsi="宋体"/>
          <w:sz w:val="24"/>
          <w:szCs w:val="24"/>
        </w:rPr>
        <w:t>月</w:t>
      </w:r>
      <w:r>
        <w:rPr>
          <w:rFonts w:ascii="宋体" w:hAnsi="宋体"/>
          <w:sz w:val="24"/>
          <w:szCs w:val="24"/>
        </w:rPr>
        <w:t>1</w:t>
      </w:r>
      <w:r>
        <w:rPr>
          <w:rFonts w:hint="eastAsia" w:ascii="宋体" w:hAnsi="宋体"/>
          <w:sz w:val="24"/>
          <w:szCs w:val="24"/>
        </w:rPr>
        <w:t>日起施行）；</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9</w:t>
      </w:r>
      <w:r>
        <w:rPr>
          <w:rFonts w:hint="eastAsia" w:ascii="宋体" w:hAnsi="宋体"/>
          <w:sz w:val="24"/>
          <w:szCs w:val="24"/>
        </w:rPr>
        <w:t>）《河北省环境保护条例》，（</w:t>
      </w:r>
      <w:r>
        <w:rPr>
          <w:rFonts w:ascii="宋体" w:hAnsi="宋体"/>
          <w:sz w:val="24"/>
          <w:szCs w:val="24"/>
        </w:rPr>
        <w:t>2005</w:t>
      </w:r>
      <w:r>
        <w:rPr>
          <w:rFonts w:hint="eastAsia" w:ascii="宋体" w:hAnsi="宋体"/>
          <w:sz w:val="24"/>
          <w:szCs w:val="24"/>
        </w:rPr>
        <w:t>年</w:t>
      </w:r>
      <w:r>
        <w:rPr>
          <w:rFonts w:ascii="宋体" w:hAnsi="宋体"/>
          <w:sz w:val="24"/>
          <w:szCs w:val="24"/>
        </w:rPr>
        <w:t>5</w:t>
      </w:r>
      <w:r>
        <w:rPr>
          <w:rFonts w:hint="eastAsia" w:ascii="宋体" w:hAnsi="宋体"/>
          <w:sz w:val="24"/>
          <w:szCs w:val="24"/>
        </w:rPr>
        <w:t>月</w:t>
      </w:r>
      <w:r>
        <w:rPr>
          <w:rFonts w:ascii="宋体" w:hAnsi="宋体"/>
          <w:sz w:val="24"/>
          <w:szCs w:val="24"/>
        </w:rPr>
        <w:t>1</w:t>
      </w:r>
      <w:r>
        <w:rPr>
          <w:rFonts w:hint="eastAsia" w:ascii="宋体" w:hAnsi="宋体"/>
          <w:sz w:val="24"/>
          <w:szCs w:val="24"/>
        </w:rPr>
        <w:t>日起施行）。</w:t>
      </w:r>
    </w:p>
    <w:p>
      <w:pPr>
        <w:pStyle w:val="4"/>
      </w:pPr>
      <w:bookmarkStart w:id="8" w:name="_Toc503884728"/>
      <w:r>
        <w:t xml:space="preserve">1.2 </w:t>
      </w:r>
      <w:r>
        <w:rPr>
          <w:rFonts w:hint="eastAsia"/>
        </w:rPr>
        <w:t>验收技术规范</w:t>
      </w:r>
      <w:bookmarkEnd w:id="8"/>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）《环境影响评价技术导则</w:t>
      </w:r>
      <w:r>
        <w:rPr>
          <w:rFonts w:ascii="宋体" w:hAnsi="宋体"/>
          <w:sz w:val="24"/>
          <w:szCs w:val="24"/>
        </w:rPr>
        <w:t xml:space="preserve">  </w:t>
      </w:r>
      <w:r>
        <w:rPr>
          <w:rFonts w:hint="eastAsia" w:ascii="宋体" w:hAnsi="宋体"/>
          <w:sz w:val="24"/>
          <w:szCs w:val="24"/>
        </w:rPr>
        <w:t>总纲》（</w:t>
      </w:r>
      <w:r>
        <w:rPr>
          <w:rFonts w:ascii="宋体" w:hAnsi="宋体"/>
          <w:sz w:val="24"/>
          <w:szCs w:val="24"/>
        </w:rPr>
        <w:t>HJ 2.1-2016</w:t>
      </w:r>
      <w:r>
        <w:rPr>
          <w:rFonts w:hint="eastAsia" w:ascii="宋体" w:hAnsi="宋体"/>
          <w:sz w:val="24"/>
          <w:szCs w:val="24"/>
        </w:rPr>
        <w:t>）；</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）《环境影响评价技术导则</w:t>
      </w:r>
      <w:r>
        <w:rPr>
          <w:rFonts w:ascii="宋体" w:hAnsi="宋体"/>
          <w:sz w:val="24"/>
          <w:szCs w:val="24"/>
        </w:rPr>
        <w:t xml:space="preserve">  </w:t>
      </w:r>
      <w:r>
        <w:rPr>
          <w:rFonts w:hint="eastAsia" w:ascii="宋体" w:hAnsi="宋体"/>
          <w:sz w:val="24"/>
          <w:szCs w:val="24"/>
        </w:rPr>
        <w:t>大气环境》（</w:t>
      </w:r>
      <w:r>
        <w:rPr>
          <w:rFonts w:ascii="宋体" w:hAnsi="宋体"/>
          <w:sz w:val="24"/>
          <w:szCs w:val="24"/>
        </w:rPr>
        <w:t>HJ 2.2-2008</w:t>
      </w:r>
      <w:r>
        <w:rPr>
          <w:rFonts w:hint="eastAsia" w:ascii="宋体" w:hAnsi="宋体"/>
          <w:sz w:val="24"/>
          <w:szCs w:val="24"/>
        </w:rPr>
        <w:t>）；</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）《环境影响评价技术导则</w:t>
      </w:r>
      <w:r>
        <w:rPr>
          <w:rFonts w:ascii="宋体" w:hAnsi="宋体"/>
          <w:sz w:val="24"/>
          <w:szCs w:val="24"/>
        </w:rPr>
        <w:t xml:space="preserve">  </w:t>
      </w:r>
      <w:r>
        <w:rPr>
          <w:rFonts w:hint="eastAsia" w:ascii="宋体" w:hAnsi="宋体"/>
          <w:sz w:val="24"/>
          <w:szCs w:val="24"/>
        </w:rPr>
        <w:t>地面水环境》（</w:t>
      </w:r>
      <w:r>
        <w:rPr>
          <w:rFonts w:ascii="宋体" w:hAnsi="宋体"/>
          <w:sz w:val="24"/>
          <w:szCs w:val="24"/>
        </w:rPr>
        <w:t>HJ/T 2.3-93</w:t>
      </w:r>
      <w:r>
        <w:rPr>
          <w:rFonts w:hint="eastAsia" w:ascii="宋体" w:hAnsi="宋体"/>
          <w:sz w:val="24"/>
          <w:szCs w:val="24"/>
        </w:rPr>
        <w:t>）；</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）《环境影响评价技术导则</w:t>
      </w:r>
      <w:r>
        <w:rPr>
          <w:rFonts w:ascii="宋体" w:hAnsi="宋体"/>
          <w:sz w:val="24"/>
          <w:szCs w:val="24"/>
        </w:rPr>
        <w:t xml:space="preserve">  </w:t>
      </w:r>
      <w:r>
        <w:rPr>
          <w:rFonts w:hint="eastAsia" w:ascii="宋体" w:hAnsi="宋体"/>
          <w:sz w:val="24"/>
          <w:szCs w:val="24"/>
        </w:rPr>
        <w:t>地下水环境》（</w:t>
      </w:r>
      <w:r>
        <w:rPr>
          <w:rFonts w:ascii="宋体" w:hAnsi="宋体"/>
          <w:sz w:val="24"/>
          <w:szCs w:val="24"/>
        </w:rPr>
        <w:t>HJ 610-2016</w:t>
      </w:r>
      <w:r>
        <w:rPr>
          <w:rFonts w:hint="eastAsia" w:ascii="宋体" w:hAnsi="宋体"/>
          <w:sz w:val="24"/>
          <w:szCs w:val="24"/>
        </w:rPr>
        <w:t>）；</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）《环境影响评价技术导则</w:t>
      </w:r>
      <w:r>
        <w:rPr>
          <w:rFonts w:ascii="宋体" w:hAnsi="宋体"/>
          <w:sz w:val="24"/>
          <w:szCs w:val="24"/>
        </w:rPr>
        <w:t xml:space="preserve">  </w:t>
      </w:r>
      <w:r>
        <w:rPr>
          <w:rFonts w:hint="eastAsia" w:ascii="宋体" w:hAnsi="宋体"/>
          <w:sz w:val="24"/>
          <w:szCs w:val="24"/>
        </w:rPr>
        <w:t>声环境》（</w:t>
      </w:r>
      <w:r>
        <w:rPr>
          <w:rFonts w:ascii="宋体" w:hAnsi="宋体"/>
          <w:sz w:val="24"/>
          <w:szCs w:val="24"/>
        </w:rPr>
        <w:t>HJ 2.4-2009</w:t>
      </w:r>
      <w:r>
        <w:rPr>
          <w:rFonts w:hint="eastAsia" w:ascii="宋体" w:hAnsi="宋体"/>
          <w:sz w:val="24"/>
          <w:szCs w:val="24"/>
        </w:rPr>
        <w:t>）；</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6</w:t>
      </w:r>
      <w:r>
        <w:rPr>
          <w:rFonts w:hint="eastAsia" w:ascii="宋体" w:hAnsi="宋体"/>
          <w:sz w:val="24"/>
          <w:szCs w:val="24"/>
        </w:rPr>
        <w:t>）《环境影响评价技术导则</w:t>
      </w:r>
      <w:r>
        <w:rPr>
          <w:rFonts w:ascii="宋体" w:hAnsi="宋体"/>
          <w:sz w:val="24"/>
          <w:szCs w:val="24"/>
        </w:rPr>
        <w:t xml:space="preserve">  </w:t>
      </w:r>
      <w:r>
        <w:rPr>
          <w:rFonts w:hint="eastAsia" w:ascii="宋体" w:hAnsi="宋体"/>
          <w:sz w:val="24"/>
          <w:szCs w:val="24"/>
        </w:rPr>
        <w:t>生态影响》（</w:t>
      </w:r>
      <w:r>
        <w:rPr>
          <w:rFonts w:ascii="宋体" w:hAnsi="宋体"/>
          <w:sz w:val="24"/>
          <w:szCs w:val="24"/>
        </w:rPr>
        <w:t>HJ 19-2011</w:t>
      </w:r>
      <w:r>
        <w:rPr>
          <w:rFonts w:hint="eastAsia" w:ascii="宋体" w:hAnsi="宋体"/>
          <w:sz w:val="24"/>
          <w:szCs w:val="24"/>
        </w:rPr>
        <w:t>）；</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7</w:t>
      </w:r>
      <w:r>
        <w:rPr>
          <w:rFonts w:hint="eastAsia" w:ascii="宋体" w:hAnsi="宋体"/>
          <w:sz w:val="24"/>
          <w:szCs w:val="24"/>
        </w:rPr>
        <w:t>）《环境空气质量标准》（</w:t>
      </w:r>
      <w:r>
        <w:rPr>
          <w:rFonts w:ascii="宋体" w:hAnsi="宋体"/>
          <w:sz w:val="24"/>
          <w:szCs w:val="24"/>
        </w:rPr>
        <w:t>GB3095-2012</w:t>
      </w:r>
      <w:r>
        <w:rPr>
          <w:rFonts w:hint="eastAsia" w:ascii="宋体" w:hAnsi="宋体"/>
          <w:sz w:val="24"/>
          <w:szCs w:val="24"/>
        </w:rPr>
        <w:t>）；</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8</w:t>
      </w:r>
      <w:r>
        <w:rPr>
          <w:rFonts w:hint="eastAsia" w:ascii="宋体" w:hAnsi="宋体"/>
          <w:sz w:val="24"/>
          <w:szCs w:val="24"/>
        </w:rPr>
        <w:t>）《声环境质量标准》（</w:t>
      </w:r>
      <w:r>
        <w:rPr>
          <w:rFonts w:ascii="宋体" w:hAnsi="宋体"/>
          <w:sz w:val="24"/>
          <w:szCs w:val="24"/>
        </w:rPr>
        <w:t>GB3096-2008</w:t>
      </w:r>
      <w:r>
        <w:rPr>
          <w:rFonts w:hint="eastAsia" w:ascii="宋体" w:hAnsi="宋体"/>
          <w:sz w:val="24"/>
          <w:szCs w:val="24"/>
        </w:rPr>
        <w:t>）；</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9</w:t>
      </w:r>
      <w:r>
        <w:rPr>
          <w:rFonts w:hint="eastAsia" w:ascii="宋体" w:hAnsi="宋体"/>
          <w:sz w:val="24"/>
          <w:szCs w:val="24"/>
        </w:rPr>
        <w:t>）《地下水质量标准》（</w:t>
      </w:r>
      <w:r>
        <w:rPr>
          <w:rFonts w:ascii="宋体" w:hAnsi="宋体"/>
          <w:sz w:val="24"/>
          <w:szCs w:val="24"/>
        </w:rPr>
        <w:t>GB/14848-93</w:t>
      </w:r>
      <w:r>
        <w:rPr>
          <w:rFonts w:hint="eastAsia" w:ascii="宋体" w:hAnsi="宋体"/>
          <w:sz w:val="24"/>
          <w:szCs w:val="24"/>
        </w:rPr>
        <w:t>）；</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10</w:t>
      </w:r>
      <w:r>
        <w:rPr>
          <w:rFonts w:hint="eastAsia" w:ascii="宋体" w:hAnsi="宋体"/>
          <w:sz w:val="24"/>
          <w:szCs w:val="24"/>
        </w:rPr>
        <w:t>）《大气污染物综合排放标准》(GB16297-1996)；</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11</w:t>
      </w:r>
      <w:r>
        <w:rPr>
          <w:rFonts w:hint="eastAsia" w:ascii="宋体" w:hAnsi="宋体"/>
          <w:sz w:val="24"/>
          <w:szCs w:val="24"/>
        </w:rPr>
        <w:t>）《钢铁工业水污染物排放标准》(GB13456-2012)；</w:t>
      </w:r>
    </w:p>
    <w:p>
      <w:pPr>
        <w:spacing w:line="48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12</w:t>
      </w:r>
      <w:r>
        <w:rPr>
          <w:rFonts w:hint="eastAsia" w:ascii="宋体" w:hAnsi="宋体"/>
          <w:sz w:val="24"/>
          <w:szCs w:val="24"/>
        </w:rPr>
        <w:t>）《工业企业厂界环境噪声排放标准》（</w:t>
      </w:r>
      <w:r>
        <w:rPr>
          <w:rFonts w:ascii="宋体" w:hAnsi="宋体"/>
          <w:sz w:val="24"/>
          <w:szCs w:val="24"/>
        </w:rPr>
        <w:t>GB12348-2008</w:t>
      </w:r>
      <w:r>
        <w:rPr>
          <w:rFonts w:hint="eastAsia" w:ascii="宋体" w:hAnsi="宋体"/>
          <w:sz w:val="24"/>
          <w:szCs w:val="24"/>
        </w:rPr>
        <w:t>）；</w:t>
      </w:r>
    </w:p>
    <w:p>
      <w:pPr>
        <w:spacing w:line="48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13</w:t>
      </w:r>
      <w:r>
        <w:rPr>
          <w:rFonts w:hint="eastAsia" w:ascii="宋体" w:hAnsi="宋体"/>
          <w:sz w:val="24"/>
          <w:szCs w:val="24"/>
        </w:rPr>
        <w:t>）</w:t>
      </w:r>
      <w:r>
        <w:rPr>
          <w:rFonts w:hint="eastAsia" w:ascii="宋体" w:hAnsi="宋体"/>
          <w:kern w:val="0"/>
          <w:sz w:val="24"/>
          <w:szCs w:val="24"/>
        </w:rPr>
        <w:t>《关于规范建设单位自主开展建设项目竣工环境保护验收的通知》</w:t>
      </w:r>
      <w:r>
        <w:rPr>
          <w:rFonts w:hint="eastAsia" w:ascii="宋体" w:hAnsi="宋体"/>
          <w:sz w:val="24"/>
          <w:szCs w:val="24"/>
        </w:rPr>
        <w:t>（环境保护部）；</w:t>
      </w:r>
    </w:p>
    <w:p>
      <w:pPr>
        <w:spacing w:line="48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14</w:t>
      </w:r>
      <w:r>
        <w:rPr>
          <w:rFonts w:hint="eastAsia" w:ascii="宋体" w:hAnsi="宋体"/>
          <w:sz w:val="24"/>
          <w:szCs w:val="24"/>
        </w:rPr>
        <w:t>）《建设项目竣工环境保护验收技术指南</w:t>
      </w:r>
      <w:r>
        <w:rPr>
          <w:rFonts w:ascii="宋体" w:hAnsi="宋体"/>
          <w:sz w:val="24"/>
          <w:szCs w:val="24"/>
        </w:rPr>
        <w:t xml:space="preserve"> </w:t>
      </w:r>
      <w:r>
        <w:rPr>
          <w:rFonts w:hint="eastAsia" w:ascii="宋体" w:hAnsi="宋体"/>
          <w:sz w:val="24"/>
          <w:szCs w:val="24"/>
        </w:rPr>
        <w:t>污染影响类》</w:t>
      </w:r>
      <w:r>
        <w:rPr>
          <w:rFonts w:hint="eastAsia" w:ascii="宋体" w:hAnsi="宋体"/>
          <w:kern w:val="0"/>
          <w:sz w:val="24"/>
          <w:szCs w:val="24"/>
        </w:rPr>
        <w:t>（征求意见稿）</w:t>
      </w:r>
      <w:r>
        <w:rPr>
          <w:rFonts w:hint="eastAsia" w:ascii="宋体" w:hAnsi="宋体"/>
          <w:sz w:val="24"/>
          <w:szCs w:val="24"/>
        </w:rPr>
        <w:t>（环境保护部）；</w:t>
      </w:r>
    </w:p>
    <w:p>
      <w:pPr>
        <w:spacing w:line="48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15</w:t>
      </w:r>
      <w:r>
        <w:rPr>
          <w:rFonts w:hint="eastAsia" w:ascii="宋体" w:hAnsi="宋体"/>
          <w:sz w:val="24"/>
          <w:szCs w:val="24"/>
        </w:rPr>
        <w:t>）《建设项目环境影响评价文件审批及建设单位自主开展环境保护设施验收工作指引（试行）》（河北省环境保护厅）。</w:t>
      </w:r>
    </w:p>
    <w:p>
      <w:pPr>
        <w:pStyle w:val="4"/>
      </w:pPr>
      <w:bookmarkStart w:id="9" w:name="_Toc503884729"/>
      <w:r>
        <w:t xml:space="preserve">1.3 </w:t>
      </w:r>
      <w:r>
        <w:rPr>
          <w:rFonts w:hint="eastAsia"/>
        </w:rPr>
        <w:t>工程技术文件及批复文件</w:t>
      </w:r>
      <w:bookmarkEnd w:id="9"/>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w:t>
      </w:r>
      <w:r>
        <w:rPr>
          <w:rFonts w:hint="default" w:ascii="Times New Roman" w:hAnsi="Times New Roman" w:cs="Times New Roman"/>
          <w:color w:val="000000"/>
          <w:sz w:val="24"/>
          <w:szCs w:val="24"/>
        </w:rPr>
        <w:t>《唐山正元管业有限公司建设焊管生产线项目环境影响报告表》</w:t>
      </w:r>
      <w:r>
        <w:rPr>
          <w:rFonts w:hint="eastAsia" w:ascii="宋体" w:hAnsi="宋体"/>
          <w:sz w:val="24"/>
          <w:szCs w:val="24"/>
        </w:rPr>
        <w:t>（</w:t>
      </w:r>
      <w:r>
        <w:rPr>
          <w:rFonts w:hint="eastAsia" w:ascii="Times New Roman" w:hAnsi="Times New Roman" w:cs="Times New Roman"/>
          <w:sz w:val="24"/>
          <w:szCs w:val="24"/>
          <w:highlight w:val="none"/>
          <w:lang w:eastAsia="zh-CN"/>
        </w:rPr>
        <w:t>河北省众联能源环保科技有限公司</w:t>
      </w:r>
      <w:r>
        <w:rPr>
          <w:rFonts w:hint="eastAsia" w:ascii="宋体" w:hAnsi="宋体"/>
          <w:sz w:val="24"/>
          <w:szCs w:val="24"/>
        </w:rPr>
        <w:t>，</w:t>
      </w:r>
      <w:r>
        <w:rPr>
          <w:rFonts w:ascii="宋体" w:hAnsi="宋体"/>
          <w:sz w:val="24"/>
          <w:szCs w:val="24"/>
        </w:rPr>
        <w:t>201</w:t>
      </w:r>
      <w:r>
        <w:rPr>
          <w:rFonts w:hint="eastAsia" w:ascii="宋体" w:hAnsi="宋体"/>
          <w:sz w:val="24"/>
          <w:szCs w:val="24"/>
          <w:lang w:val="en-US" w:eastAsia="zh-CN"/>
        </w:rPr>
        <w:t>7</w:t>
      </w:r>
      <w:r>
        <w:rPr>
          <w:rFonts w:hint="eastAsia" w:ascii="宋体" w:hAnsi="宋体"/>
          <w:sz w:val="24"/>
          <w:szCs w:val="24"/>
        </w:rPr>
        <w:t>年</w:t>
      </w:r>
      <w:r>
        <w:rPr>
          <w:rFonts w:ascii="宋体" w:hAnsi="宋体"/>
          <w:sz w:val="24"/>
          <w:szCs w:val="24"/>
        </w:rPr>
        <w:t>0</w:t>
      </w:r>
      <w:r>
        <w:rPr>
          <w:rFonts w:hint="eastAsia" w:ascii="宋体" w:hAnsi="宋体"/>
          <w:sz w:val="24"/>
          <w:szCs w:val="24"/>
          <w:lang w:val="en-US" w:eastAsia="zh-CN"/>
        </w:rPr>
        <w:t>8</w:t>
      </w:r>
      <w:r>
        <w:rPr>
          <w:rFonts w:hint="eastAsia" w:ascii="宋体" w:hAnsi="宋体"/>
          <w:sz w:val="24"/>
          <w:szCs w:val="24"/>
        </w:rPr>
        <w:t>月）；</w:t>
      </w:r>
    </w:p>
    <w:p>
      <w:pPr>
        <w:spacing w:line="44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hint="eastAsia" w:ascii="宋体" w:hAnsi="宋体"/>
          <w:sz w:val="24"/>
          <w:szCs w:val="24"/>
          <w:lang w:eastAsia="zh-CN"/>
        </w:rPr>
        <w:t>唐山市丰南区</w:t>
      </w:r>
      <w:r>
        <w:rPr>
          <w:rFonts w:hint="eastAsia" w:ascii="宋体" w:hAnsi="宋体"/>
          <w:sz w:val="24"/>
          <w:szCs w:val="24"/>
        </w:rPr>
        <w:t>环境保护局</w:t>
      </w:r>
      <w:r>
        <w:rPr>
          <w:rFonts w:hint="eastAsia" w:ascii="宋体" w:hAnsi="宋体"/>
          <w:sz w:val="24"/>
          <w:szCs w:val="24"/>
          <w:lang w:eastAsia="zh-CN"/>
        </w:rPr>
        <w:t>，丰环表</w:t>
      </w:r>
      <w:r>
        <w:rPr>
          <w:rFonts w:hint="eastAsia" w:ascii="宋体" w:hAnsi="宋体"/>
          <w:sz w:val="24"/>
          <w:szCs w:val="24"/>
          <w:lang w:val="en-US" w:eastAsia="zh-CN"/>
        </w:rPr>
        <w:t>[2017]103号，</w:t>
      </w:r>
      <w:r>
        <w:rPr>
          <w:rFonts w:hint="eastAsia" w:ascii="宋体" w:hAnsi="宋体"/>
          <w:sz w:val="24"/>
          <w:szCs w:val="24"/>
        </w:rPr>
        <w:t>关于</w:t>
      </w:r>
      <w:r>
        <w:rPr>
          <w:rFonts w:hint="default" w:ascii="Times New Roman" w:hAnsi="Times New Roman" w:cs="Times New Roman"/>
          <w:color w:val="000000"/>
          <w:sz w:val="24"/>
          <w:szCs w:val="24"/>
        </w:rPr>
        <w:t>《唐山正元管业有限公司建设焊管生产线项目环境影响报告表》</w:t>
      </w:r>
      <w:r>
        <w:rPr>
          <w:rFonts w:hint="eastAsia" w:ascii="宋体" w:hAnsi="宋体"/>
          <w:sz w:val="24"/>
          <w:szCs w:val="24"/>
        </w:rPr>
        <w:t>的审批意见，</w:t>
      </w:r>
      <w:r>
        <w:rPr>
          <w:rFonts w:ascii="宋体" w:hAnsi="宋体"/>
          <w:sz w:val="24"/>
          <w:szCs w:val="24"/>
        </w:rPr>
        <w:t>201</w:t>
      </w:r>
      <w:r>
        <w:rPr>
          <w:rFonts w:hint="eastAsia" w:ascii="宋体" w:hAnsi="宋体"/>
          <w:sz w:val="24"/>
          <w:szCs w:val="24"/>
          <w:lang w:val="en-US" w:eastAsia="zh-CN"/>
        </w:rPr>
        <w:t>7</w:t>
      </w:r>
      <w:r>
        <w:rPr>
          <w:rFonts w:hint="eastAsia" w:ascii="宋体" w:hAnsi="宋体"/>
          <w:sz w:val="24"/>
          <w:szCs w:val="24"/>
        </w:rPr>
        <w:t>年</w:t>
      </w:r>
      <w:r>
        <w:rPr>
          <w:rFonts w:hint="eastAsia" w:ascii="宋体" w:hAnsi="宋体"/>
          <w:sz w:val="24"/>
          <w:szCs w:val="24"/>
          <w:lang w:val="en-US" w:eastAsia="zh-CN"/>
        </w:rPr>
        <w:t>9</w:t>
      </w:r>
      <w:r>
        <w:rPr>
          <w:rFonts w:hint="eastAsia" w:ascii="宋体" w:hAnsi="宋体"/>
          <w:sz w:val="24"/>
          <w:szCs w:val="24"/>
        </w:rPr>
        <w:t>月</w:t>
      </w:r>
      <w:r>
        <w:rPr>
          <w:rFonts w:hint="eastAsia" w:ascii="宋体" w:hAnsi="宋体"/>
          <w:sz w:val="24"/>
          <w:szCs w:val="24"/>
          <w:lang w:val="en-US" w:eastAsia="zh-CN"/>
        </w:rPr>
        <w:t>30</w:t>
      </w:r>
      <w:r>
        <w:rPr>
          <w:rFonts w:hint="eastAsia" w:ascii="宋体" w:hAnsi="宋体"/>
          <w:sz w:val="24"/>
          <w:szCs w:val="24"/>
        </w:rPr>
        <w:t>日</w:t>
      </w:r>
      <w:r>
        <w:rPr>
          <w:rFonts w:hint="eastAsia" w:ascii="宋体" w:hAnsi="宋体"/>
          <w:sz w:val="24"/>
          <w:szCs w:val="24"/>
          <w:lang w:eastAsia="zh-CN"/>
        </w:rPr>
        <w:t>。</w:t>
      </w:r>
    </w:p>
    <w:p>
      <w:pPr>
        <w:spacing w:line="440" w:lineRule="atLeast"/>
        <w:ind w:firstLine="480" w:firstLineChars="200"/>
        <w:rPr>
          <w:rFonts w:ascii="宋体"/>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pPr>
      <w:bookmarkStart w:id="10" w:name="_Toc503884730"/>
      <w:r>
        <w:t xml:space="preserve">2 </w:t>
      </w:r>
      <w:r>
        <w:rPr>
          <w:rFonts w:hint="eastAsia"/>
        </w:rPr>
        <w:t>工程概况</w:t>
      </w:r>
      <w:bookmarkEnd w:id="10"/>
    </w:p>
    <w:p>
      <w:pPr>
        <w:pStyle w:val="4"/>
      </w:pPr>
      <w:bookmarkStart w:id="11" w:name="_Toc503884731"/>
      <w:r>
        <w:t xml:space="preserve">2.1 </w:t>
      </w:r>
      <w:r>
        <w:rPr>
          <w:rFonts w:hint="eastAsia"/>
        </w:rPr>
        <w:t>项目基本情况</w:t>
      </w:r>
      <w:bookmarkEnd w:id="11"/>
    </w:p>
    <w:p>
      <w:pPr>
        <w:pStyle w:val="5"/>
      </w:pPr>
      <w:bookmarkStart w:id="12" w:name="_Toc496979000"/>
      <w:bookmarkStart w:id="13" w:name="_Toc503884732"/>
      <w:bookmarkStart w:id="14" w:name="_Toc497001436"/>
      <w:bookmarkStart w:id="15" w:name="_Hlk496952384"/>
      <w:r>
        <w:t xml:space="preserve">2.1.1 </w:t>
      </w:r>
      <w:r>
        <w:rPr>
          <w:rFonts w:hint="eastAsia"/>
        </w:rPr>
        <w:t>基本情况</w:t>
      </w:r>
      <w:bookmarkEnd w:id="12"/>
      <w:bookmarkEnd w:id="13"/>
      <w:bookmarkEnd w:id="14"/>
    </w:p>
    <w:bookmarkEnd w:id="15"/>
    <w:p>
      <w:pPr>
        <w:spacing w:line="440" w:lineRule="atLeast"/>
        <w:ind w:firstLine="480" w:firstLineChars="200"/>
        <w:rPr>
          <w:rFonts w:ascii="宋体"/>
          <w:sz w:val="24"/>
          <w:szCs w:val="24"/>
        </w:rPr>
      </w:pPr>
      <w:r>
        <w:rPr>
          <w:rFonts w:hint="eastAsia" w:ascii="宋体" w:hAnsi="宋体"/>
          <w:sz w:val="24"/>
          <w:szCs w:val="24"/>
        </w:rPr>
        <w:t>项目基本情况介绍见下表</w:t>
      </w:r>
      <w:r>
        <w:rPr>
          <w:rFonts w:ascii="宋体" w:hAnsi="宋体"/>
          <w:sz w:val="24"/>
          <w:szCs w:val="24"/>
        </w:rPr>
        <w:t>2-1</w:t>
      </w:r>
      <w:r>
        <w:rPr>
          <w:rFonts w:hint="eastAsia" w:ascii="宋体" w:hAnsi="宋体"/>
          <w:sz w:val="24"/>
          <w:szCs w:val="24"/>
        </w:rPr>
        <w:t>。</w:t>
      </w:r>
    </w:p>
    <w:p>
      <w:pPr>
        <w:spacing w:line="440" w:lineRule="atLeast"/>
        <w:ind w:firstLine="482" w:firstLineChars="200"/>
        <w:jc w:val="center"/>
        <w:rPr>
          <w:rFonts w:ascii="宋体"/>
          <w:b/>
          <w:sz w:val="24"/>
          <w:szCs w:val="24"/>
        </w:rPr>
      </w:pPr>
      <w:r>
        <w:rPr>
          <w:rFonts w:hint="eastAsia" w:ascii="宋体" w:hAnsi="宋体"/>
          <w:b/>
          <w:sz w:val="24"/>
          <w:szCs w:val="24"/>
        </w:rPr>
        <w:t>表</w:t>
      </w:r>
      <w:r>
        <w:rPr>
          <w:rFonts w:ascii="宋体" w:hAnsi="宋体"/>
          <w:b/>
          <w:sz w:val="24"/>
          <w:szCs w:val="24"/>
        </w:rPr>
        <w:t xml:space="preserve">2-1  </w:t>
      </w:r>
      <w:r>
        <w:rPr>
          <w:rFonts w:hint="eastAsia" w:ascii="宋体" w:hAnsi="宋体"/>
          <w:b/>
          <w:sz w:val="24"/>
          <w:szCs w:val="24"/>
        </w:rPr>
        <w:t>项目基本情况</w:t>
      </w:r>
    </w:p>
    <w:tbl>
      <w:tblPr>
        <w:tblStyle w:val="35"/>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635"/>
        <w:gridCol w:w="285"/>
        <w:gridCol w:w="1266"/>
        <w:gridCol w:w="430"/>
        <w:gridCol w:w="369"/>
        <w:gridCol w:w="1375"/>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5" w:type="dxa"/>
            <w:vAlign w:val="center"/>
          </w:tcPr>
          <w:p>
            <w:pPr>
              <w:spacing w:line="44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6639" w:type="dxa"/>
            <w:gridSpan w:val="7"/>
            <w:vAlign w:val="center"/>
          </w:tcPr>
          <w:p>
            <w:pPr>
              <w:jc w:val="center"/>
              <w:rPr>
                <w:rFonts w:hint="default" w:ascii="Times New Roman" w:hAnsi="Times New Roman" w:cs="Times New Roman"/>
                <w:sz w:val="24"/>
                <w:szCs w:val="24"/>
              </w:rPr>
            </w:pPr>
            <w:r>
              <w:rPr>
                <w:rFonts w:hint="eastAsia" w:ascii="宋体" w:hAnsi="宋体"/>
                <w:color w:val="000000"/>
                <w:sz w:val="24"/>
                <w:szCs w:val="24"/>
              </w:rPr>
              <w:t>唐山正元管业有限公司建设焊管生产线项目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5" w:type="dxa"/>
            <w:vAlign w:val="center"/>
          </w:tcPr>
          <w:p>
            <w:pPr>
              <w:spacing w:line="44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建设单位</w:t>
            </w:r>
          </w:p>
        </w:tc>
        <w:tc>
          <w:tcPr>
            <w:tcW w:w="6639" w:type="dxa"/>
            <w:gridSpan w:val="7"/>
            <w:vAlign w:val="center"/>
          </w:tcPr>
          <w:p>
            <w:pPr>
              <w:jc w:val="center"/>
              <w:rPr>
                <w:rFonts w:hint="default" w:ascii="Times New Roman" w:hAnsi="Times New Roman" w:cs="Times New Roman"/>
                <w:sz w:val="24"/>
                <w:szCs w:val="24"/>
              </w:rPr>
            </w:pPr>
            <w:r>
              <w:rPr>
                <w:rFonts w:hint="eastAsia" w:ascii="宋体" w:hAnsi="宋体"/>
                <w:color w:val="000000"/>
                <w:sz w:val="24"/>
                <w:szCs w:val="24"/>
              </w:rPr>
              <w:t>唐山正元管业有限公司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5" w:type="dxa"/>
            <w:vAlign w:val="center"/>
          </w:tcPr>
          <w:p>
            <w:pPr>
              <w:spacing w:line="44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法人代表</w:t>
            </w:r>
          </w:p>
        </w:tc>
        <w:tc>
          <w:tcPr>
            <w:tcW w:w="1635" w:type="dxa"/>
            <w:vAlign w:val="center"/>
          </w:tcPr>
          <w:p>
            <w:pPr>
              <w:jc w:val="center"/>
              <w:rPr>
                <w:rFonts w:hint="default" w:ascii="Times New Roman" w:hAnsi="Times New Roman" w:cs="Times New Roman"/>
                <w:sz w:val="24"/>
                <w:szCs w:val="24"/>
              </w:rPr>
            </w:pPr>
            <w:r>
              <w:rPr>
                <w:rFonts w:hint="eastAsia" w:ascii="宋体" w:hAnsi="宋体"/>
                <w:color w:val="000000"/>
                <w:sz w:val="24"/>
                <w:szCs w:val="24"/>
              </w:rPr>
              <w:t>李茂华</w:t>
            </w:r>
          </w:p>
        </w:tc>
        <w:tc>
          <w:tcPr>
            <w:tcW w:w="1551" w:type="dxa"/>
            <w:gridSpan w:val="2"/>
            <w:vAlign w:val="center"/>
          </w:tcPr>
          <w:p>
            <w:pPr>
              <w:jc w:val="center"/>
              <w:rPr>
                <w:rFonts w:hint="default" w:ascii="Times New Roman" w:hAnsi="Times New Roman" w:cs="Times New Roman"/>
                <w:sz w:val="24"/>
                <w:szCs w:val="24"/>
              </w:rPr>
            </w:pPr>
            <w:r>
              <w:rPr>
                <w:rFonts w:hint="eastAsia" w:ascii="宋体" w:hAnsi="宋体"/>
                <w:color w:val="000000"/>
                <w:sz w:val="24"/>
                <w:szCs w:val="24"/>
              </w:rPr>
              <w:t>联系人</w:t>
            </w:r>
          </w:p>
        </w:tc>
        <w:tc>
          <w:tcPr>
            <w:tcW w:w="3453" w:type="dxa"/>
            <w:gridSpan w:val="4"/>
            <w:vAlign w:val="center"/>
          </w:tcPr>
          <w:p>
            <w:pPr>
              <w:jc w:val="center"/>
              <w:rPr>
                <w:rFonts w:hint="default" w:ascii="Times New Roman" w:hAnsi="Times New Roman" w:cs="Times New Roman"/>
                <w:sz w:val="24"/>
                <w:szCs w:val="24"/>
              </w:rPr>
            </w:pPr>
            <w:r>
              <w:rPr>
                <w:rFonts w:hint="eastAsia" w:ascii="宋体" w:hAnsi="宋体"/>
                <w:color w:val="000000"/>
                <w:sz w:val="24"/>
                <w:szCs w:val="24"/>
                <w:lang w:eastAsia="zh-CN"/>
              </w:rPr>
              <w:t>黄金全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5" w:type="dxa"/>
            <w:vAlign w:val="center"/>
          </w:tcPr>
          <w:p>
            <w:pPr>
              <w:spacing w:line="44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通信地址</w:t>
            </w:r>
          </w:p>
        </w:tc>
        <w:tc>
          <w:tcPr>
            <w:tcW w:w="6639" w:type="dxa"/>
            <w:gridSpan w:val="7"/>
            <w:vAlign w:val="center"/>
          </w:tcPr>
          <w:p>
            <w:pPr>
              <w:jc w:val="center"/>
              <w:rPr>
                <w:rFonts w:hint="default" w:ascii="Times New Roman" w:hAnsi="Times New Roman" w:cs="Times New Roman"/>
                <w:sz w:val="24"/>
                <w:szCs w:val="24"/>
              </w:rPr>
            </w:pPr>
            <w:r>
              <w:rPr>
                <w:rFonts w:hint="eastAsia"/>
                <w:sz w:val="24"/>
                <w:szCs w:val="24"/>
              </w:rPr>
              <w:t>唐山市丰南区河北丰南临港经济开发区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5" w:type="dxa"/>
            <w:vAlign w:val="center"/>
          </w:tcPr>
          <w:p>
            <w:pPr>
              <w:spacing w:line="44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联系电话</w:t>
            </w:r>
          </w:p>
        </w:tc>
        <w:tc>
          <w:tcPr>
            <w:tcW w:w="1635" w:type="dxa"/>
            <w:vAlign w:val="center"/>
          </w:tcPr>
          <w:p>
            <w:pPr>
              <w:jc w:val="center"/>
              <w:rPr>
                <w:rFonts w:hint="default" w:ascii="Times New Roman" w:hAnsi="Times New Roman" w:cs="Times New Roman"/>
                <w:sz w:val="24"/>
                <w:szCs w:val="24"/>
              </w:rPr>
            </w:pPr>
            <w:r>
              <w:rPr>
                <w:rFonts w:hint="eastAsia" w:ascii="宋体" w:hAnsi="宋体"/>
                <w:color w:val="000000"/>
                <w:sz w:val="24"/>
                <w:szCs w:val="24"/>
                <w:lang w:val="en-US" w:eastAsia="zh-CN"/>
              </w:rPr>
              <w:t>15032515777</w:t>
            </w:r>
          </w:p>
        </w:tc>
        <w:tc>
          <w:tcPr>
            <w:tcW w:w="1551" w:type="dxa"/>
            <w:gridSpan w:val="2"/>
            <w:vAlign w:val="center"/>
          </w:tcPr>
          <w:p>
            <w:pPr>
              <w:jc w:val="center"/>
              <w:rPr>
                <w:rFonts w:hint="default" w:ascii="Times New Roman" w:hAnsi="Times New Roman" w:cs="Times New Roman"/>
                <w:sz w:val="24"/>
                <w:szCs w:val="24"/>
              </w:rPr>
            </w:pPr>
            <w:r>
              <w:rPr>
                <w:rFonts w:hint="eastAsia" w:ascii="宋体" w:hAnsi="宋体"/>
                <w:color w:val="000000"/>
                <w:sz w:val="24"/>
                <w:szCs w:val="24"/>
              </w:rPr>
              <w:t>邮编</w:t>
            </w:r>
          </w:p>
        </w:tc>
        <w:tc>
          <w:tcPr>
            <w:tcW w:w="3453" w:type="dxa"/>
            <w:gridSpan w:val="4"/>
            <w:vAlign w:val="center"/>
          </w:tcPr>
          <w:p>
            <w:pPr>
              <w:jc w:val="center"/>
              <w:rPr>
                <w:rFonts w:hint="eastAsia" w:ascii="Times New Roman" w:hAnsi="Times New Roman" w:eastAsia="宋体" w:cs="Times New Roman"/>
                <w:sz w:val="24"/>
                <w:szCs w:val="24"/>
                <w:lang w:eastAsia="zh-CN"/>
              </w:rPr>
            </w:pPr>
            <w:r>
              <w:rPr>
                <w:rFonts w:hint="eastAsia" w:ascii="宋体" w:hAnsi="宋体"/>
                <w:color w:val="000000"/>
                <w:sz w:val="24"/>
                <w:szCs w:val="24"/>
              </w:rPr>
              <w:t>063300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5" w:type="dxa"/>
            <w:vAlign w:val="center"/>
          </w:tcPr>
          <w:p>
            <w:pPr>
              <w:spacing w:line="390" w:lineRule="atLeast"/>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项目性质</w:t>
            </w:r>
          </w:p>
        </w:tc>
        <w:tc>
          <w:tcPr>
            <w:tcW w:w="1635" w:type="dxa"/>
            <w:vAlign w:val="center"/>
          </w:tcPr>
          <w:p>
            <w:pPr>
              <w:jc w:val="center"/>
              <w:rPr>
                <w:rFonts w:hint="default" w:ascii="Times New Roman" w:hAnsi="Times New Roman" w:cs="Times New Roman"/>
                <w:color w:val="000000"/>
                <w:sz w:val="24"/>
                <w:szCs w:val="24"/>
              </w:rPr>
            </w:pPr>
            <w:r>
              <w:rPr>
                <w:rFonts w:hint="eastAsia" w:ascii="宋体" w:hAnsi="宋体"/>
                <w:color w:val="000000"/>
                <w:sz w:val="24"/>
                <w:szCs w:val="24"/>
                <w:lang w:eastAsia="zh-CN"/>
              </w:rPr>
              <w:t>改扩建</w:t>
            </w:r>
          </w:p>
        </w:tc>
        <w:tc>
          <w:tcPr>
            <w:tcW w:w="1551" w:type="dxa"/>
            <w:gridSpan w:val="2"/>
            <w:vAlign w:val="center"/>
          </w:tcPr>
          <w:p>
            <w:pPr>
              <w:jc w:val="center"/>
              <w:rPr>
                <w:rFonts w:hint="default" w:ascii="Times New Roman" w:hAnsi="Times New Roman" w:cs="Times New Roman"/>
                <w:color w:val="000000"/>
                <w:sz w:val="24"/>
                <w:szCs w:val="24"/>
              </w:rPr>
            </w:pPr>
            <w:r>
              <w:rPr>
                <w:rFonts w:hint="eastAsia" w:ascii="宋体" w:hAnsi="宋体"/>
                <w:color w:val="000000"/>
                <w:sz w:val="24"/>
                <w:szCs w:val="24"/>
              </w:rPr>
              <w:t>行业类别</w:t>
            </w:r>
          </w:p>
        </w:tc>
        <w:tc>
          <w:tcPr>
            <w:tcW w:w="3453" w:type="dxa"/>
            <w:gridSpan w:val="4"/>
            <w:vAlign w:val="center"/>
          </w:tcPr>
          <w:p>
            <w:pPr>
              <w:jc w:val="center"/>
              <w:rPr>
                <w:rFonts w:hint="default" w:ascii="Times New Roman" w:hAnsi="Times New Roman" w:cs="Times New Roman"/>
                <w:color w:val="000000"/>
                <w:sz w:val="24"/>
                <w:szCs w:val="24"/>
              </w:rPr>
            </w:pPr>
            <w:r>
              <w:rPr>
                <w:rFonts w:hint="eastAsia" w:ascii="宋体" w:hAnsi="宋体"/>
                <w:color w:val="000000"/>
                <w:sz w:val="24"/>
                <w:szCs w:val="24"/>
              </w:rPr>
              <w:t>C33金属制品业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5" w:type="dxa"/>
            <w:vAlign w:val="center"/>
          </w:tcPr>
          <w:p>
            <w:pPr>
              <w:spacing w:line="390" w:lineRule="atLeast"/>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总投资（万元）</w:t>
            </w:r>
          </w:p>
        </w:tc>
        <w:tc>
          <w:tcPr>
            <w:tcW w:w="1635" w:type="dxa"/>
            <w:vAlign w:val="center"/>
          </w:tcPr>
          <w:p>
            <w:pPr>
              <w:jc w:val="center"/>
              <w:rPr>
                <w:rFonts w:hint="eastAsia" w:ascii="宋体" w:hAnsi="宋体"/>
                <w:color w:val="000000"/>
                <w:sz w:val="24"/>
                <w:szCs w:val="24"/>
                <w:lang w:val="en-US" w:eastAsia="zh-CN"/>
              </w:rPr>
            </w:pPr>
            <w:r>
              <w:rPr>
                <w:rFonts w:hint="eastAsia" w:ascii="宋体" w:hAnsi="宋体"/>
                <w:color w:val="000000"/>
                <w:sz w:val="24"/>
                <w:szCs w:val="24"/>
                <w:lang w:val="en-US" w:eastAsia="zh-CN"/>
              </w:rPr>
              <w:t>5000.18</w:t>
            </w:r>
          </w:p>
        </w:tc>
        <w:tc>
          <w:tcPr>
            <w:tcW w:w="1551" w:type="dxa"/>
            <w:gridSpan w:val="2"/>
            <w:vAlign w:val="center"/>
          </w:tcPr>
          <w:p>
            <w:pPr>
              <w:jc w:val="center"/>
              <w:rPr>
                <w:rFonts w:hint="default" w:ascii="宋体" w:hAnsi="宋体"/>
                <w:color w:val="000000"/>
                <w:sz w:val="24"/>
                <w:szCs w:val="24"/>
                <w:lang w:val="en-US" w:eastAsia="zh-CN"/>
              </w:rPr>
            </w:pPr>
            <w:r>
              <w:rPr>
                <w:rFonts w:hint="default" w:ascii="宋体" w:hAnsi="宋体"/>
                <w:color w:val="000000"/>
                <w:sz w:val="24"/>
                <w:szCs w:val="24"/>
                <w:lang w:val="en-US" w:eastAsia="zh-CN"/>
              </w:rPr>
              <w:t>环保投资</w:t>
            </w:r>
          </w:p>
          <w:p>
            <w:pPr>
              <w:jc w:val="center"/>
              <w:rPr>
                <w:rFonts w:hint="default" w:ascii="宋体" w:hAnsi="宋体"/>
                <w:color w:val="000000"/>
                <w:sz w:val="24"/>
                <w:szCs w:val="24"/>
                <w:lang w:val="en-US" w:eastAsia="zh-CN"/>
              </w:rPr>
            </w:pPr>
            <w:r>
              <w:rPr>
                <w:rFonts w:hint="default" w:ascii="宋体" w:hAnsi="宋体"/>
                <w:color w:val="000000"/>
                <w:sz w:val="24"/>
                <w:szCs w:val="24"/>
                <w:lang w:val="en-US" w:eastAsia="zh-CN"/>
              </w:rPr>
              <w:t>（万元）</w:t>
            </w:r>
          </w:p>
        </w:tc>
        <w:tc>
          <w:tcPr>
            <w:tcW w:w="799" w:type="dxa"/>
            <w:gridSpan w:val="2"/>
            <w:vAlign w:val="center"/>
          </w:tcPr>
          <w:p>
            <w:pPr>
              <w:jc w:val="center"/>
              <w:rPr>
                <w:rFonts w:hint="eastAsia" w:ascii="宋体" w:hAnsi="宋体"/>
                <w:color w:val="000000"/>
                <w:sz w:val="24"/>
                <w:szCs w:val="24"/>
                <w:lang w:val="en-US" w:eastAsia="zh-CN"/>
              </w:rPr>
            </w:pPr>
            <w:r>
              <w:rPr>
                <w:rFonts w:hint="eastAsia" w:ascii="宋体" w:hAnsi="宋体"/>
                <w:color w:val="000000"/>
                <w:sz w:val="24"/>
                <w:szCs w:val="24"/>
                <w:lang w:val="en-US" w:eastAsia="zh-CN"/>
              </w:rPr>
              <w:t>32.2</w:t>
            </w:r>
          </w:p>
        </w:tc>
        <w:tc>
          <w:tcPr>
            <w:tcW w:w="1375" w:type="dxa"/>
            <w:vAlign w:val="center"/>
          </w:tcPr>
          <w:p>
            <w:pPr>
              <w:jc w:val="center"/>
              <w:rPr>
                <w:rFonts w:hint="default" w:ascii="宋体" w:hAnsi="宋体"/>
                <w:color w:val="000000"/>
                <w:sz w:val="24"/>
                <w:szCs w:val="24"/>
                <w:lang w:val="en-US" w:eastAsia="zh-CN"/>
              </w:rPr>
            </w:pPr>
            <w:r>
              <w:rPr>
                <w:rFonts w:hint="default" w:ascii="宋体" w:hAnsi="宋体"/>
                <w:color w:val="000000"/>
                <w:sz w:val="24"/>
                <w:szCs w:val="24"/>
                <w:lang w:val="en-US" w:eastAsia="zh-CN"/>
              </w:rPr>
              <w:t>环保投资占总投资比列（%）</w:t>
            </w:r>
          </w:p>
        </w:tc>
        <w:tc>
          <w:tcPr>
            <w:tcW w:w="1279" w:type="dxa"/>
            <w:vAlign w:val="center"/>
          </w:tcPr>
          <w:p>
            <w:pPr>
              <w:jc w:val="center"/>
              <w:rPr>
                <w:rFonts w:hint="eastAsia" w:ascii="宋体" w:hAnsi="宋体"/>
                <w:color w:val="000000"/>
                <w:sz w:val="24"/>
                <w:szCs w:val="24"/>
                <w:lang w:val="en-US" w:eastAsia="zh-CN"/>
              </w:rPr>
            </w:pPr>
            <w:r>
              <w:rPr>
                <w:rFonts w:hint="eastAsia" w:ascii="宋体" w:hAnsi="宋体"/>
                <w:color w:val="000000"/>
                <w:sz w:val="24"/>
                <w:szCs w:val="24"/>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5" w:type="dxa"/>
            <w:vAlign w:val="center"/>
          </w:tcPr>
          <w:p>
            <w:pPr>
              <w:spacing w:line="390" w:lineRule="atLeast"/>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建设地点</w:t>
            </w:r>
          </w:p>
        </w:tc>
        <w:tc>
          <w:tcPr>
            <w:tcW w:w="6639" w:type="dxa"/>
            <w:gridSpan w:val="7"/>
            <w:vAlign w:val="center"/>
          </w:tcPr>
          <w:p>
            <w:pPr>
              <w:spacing w:line="390" w:lineRule="atLeast"/>
              <w:jc w:val="center"/>
              <w:rPr>
                <w:rFonts w:hint="default" w:ascii="Times New Roman" w:hAnsi="Times New Roman" w:cs="Times New Roman"/>
                <w:color w:val="000000"/>
                <w:sz w:val="24"/>
                <w:szCs w:val="24"/>
              </w:rPr>
            </w:pPr>
            <w:r>
              <w:rPr>
                <w:rFonts w:hint="eastAsia"/>
                <w:sz w:val="24"/>
                <w:szCs w:val="24"/>
              </w:rPr>
              <w:t>唐山正元管业有限公司现有厂区内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2" w:hRule="atLeast"/>
          <w:jc w:val="center"/>
        </w:trPr>
        <w:tc>
          <w:tcPr>
            <w:tcW w:w="1865" w:type="dxa"/>
            <w:vAlign w:val="center"/>
          </w:tcPr>
          <w:p>
            <w:pPr>
              <w:spacing w:line="390" w:lineRule="atLeast"/>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立项审批部门</w:t>
            </w:r>
          </w:p>
        </w:tc>
        <w:tc>
          <w:tcPr>
            <w:tcW w:w="1920" w:type="dxa"/>
            <w:gridSpan w:val="2"/>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唐山市丰南区</w:t>
            </w:r>
          </w:p>
          <w:p>
            <w:pPr>
              <w:jc w:val="center"/>
              <w:rPr>
                <w:rFonts w:hint="default" w:ascii="Times New Roman" w:hAnsi="Times New Roman" w:cs="Times New Roman"/>
                <w:sz w:val="24"/>
                <w:szCs w:val="24"/>
              </w:rPr>
            </w:pPr>
            <w:r>
              <w:rPr>
                <w:rFonts w:hint="default" w:ascii="Times New Roman" w:hAnsi="Times New Roman" w:cs="Times New Roman"/>
                <w:sz w:val="24"/>
                <w:szCs w:val="24"/>
              </w:rPr>
              <w:t>发展改革局</w:t>
            </w:r>
          </w:p>
        </w:tc>
        <w:tc>
          <w:tcPr>
            <w:tcW w:w="1696" w:type="dxa"/>
            <w:gridSpan w:val="2"/>
            <w:vAlign w:val="center"/>
          </w:tcPr>
          <w:p>
            <w:pPr>
              <w:spacing w:line="390" w:lineRule="atLeast"/>
              <w:jc w:val="center"/>
              <w:rPr>
                <w:rFonts w:hint="default"/>
                <w:sz w:val="24"/>
                <w:szCs w:val="24"/>
              </w:rPr>
            </w:pPr>
            <w:r>
              <w:rPr>
                <w:rFonts w:hint="default"/>
                <w:sz w:val="24"/>
                <w:szCs w:val="24"/>
              </w:rPr>
              <w:t>批准文号</w:t>
            </w:r>
          </w:p>
        </w:tc>
        <w:tc>
          <w:tcPr>
            <w:tcW w:w="3023" w:type="dxa"/>
            <w:gridSpan w:val="3"/>
            <w:vAlign w:val="center"/>
          </w:tcPr>
          <w:p>
            <w:pPr>
              <w:spacing w:line="390" w:lineRule="atLeast"/>
              <w:jc w:val="center"/>
              <w:rPr>
                <w:rFonts w:hint="eastAsia"/>
                <w:sz w:val="24"/>
                <w:szCs w:val="24"/>
              </w:rPr>
            </w:pPr>
            <w:r>
              <w:rPr>
                <w:rFonts w:hint="eastAsia"/>
                <w:sz w:val="24"/>
                <w:szCs w:val="24"/>
              </w:rPr>
              <w:t>丰发改投资备字</w:t>
            </w:r>
          </w:p>
          <w:p>
            <w:pPr>
              <w:spacing w:line="390" w:lineRule="atLeast"/>
              <w:jc w:val="center"/>
              <w:rPr>
                <w:rFonts w:hint="default"/>
                <w:sz w:val="24"/>
                <w:szCs w:val="24"/>
              </w:rPr>
            </w:pPr>
            <w:r>
              <w:rPr>
                <w:rFonts w:hint="eastAsia"/>
                <w:sz w:val="24"/>
                <w:szCs w:val="24"/>
              </w:rPr>
              <w:t>[2017]83号</w:t>
            </w:r>
          </w:p>
        </w:tc>
      </w:tr>
    </w:tbl>
    <w:p>
      <w:pPr>
        <w:pStyle w:val="5"/>
      </w:pPr>
      <w:bookmarkStart w:id="16" w:name="_Toc496979001"/>
      <w:bookmarkStart w:id="17" w:name="_Toc503884733"/>
      <w:bookmarkStart w:id="18" w:name="_Toc497001437"/>
      <w:r>
        <w:t xml:space="preserve">2.1.2 </w:t>
      </w:r>
      <w:r>
        <w:rPr>
          <w:rFonts w:hint="eastAsia"/>
        </w:rPr>
        <w:t>地理位置及周边情况</w:t>
      </w:r>
      <w:bookmarkEnd w:id="16"/>
      <w:bookmarkEnd w:id="17"/>
      <w:bookmarkEnd w:id="18"/>
    </w:p>
    <w:p>
      <w:pPr>
        <w:spacing w:line="480" w:lineRule="atLeast"/>
        <w:ind w:firstLine="480" w:firstLineChars="200"/>
        <w:rPr>
          <w:rFonts w:hint="eastAsia" w:ascii="宋体"/>
          <w:sz w:val="24"/>
          <w:szCs w:val="24"/>
        </w:rPr>
      </w:pPr>
      <w:r>
        <w:rPr>
          <w:rFonts w:hint="eastAsia" w:ascii="宋体" w:hAnsi="宋体"/>
          <w:color w:val="000000"/>
          <w:sz w:val="24"/>
          <w:szCs w:val="24"/>
        </w:rPr>
        <w:t>唐山正元管业有限公司</w:t>
      </w:r>
      <w:r>
        <w:rPr>
          <w:rFonts w:hint="eastAsia" w:ascii="宋体" w:hAnsi="宋体"/>
          <w:color w:val="000000"/>
          <w:sz w:val="24"/>
          <w:szCs w:val="24"/>
          <w:lang w:eastAsia="zh-CN"/>
        </w:rPr>
        <w:t>位于</w:t>
      </w:r>
      <w:r>
        <w:rPr>
          <w:rFonts w:hint="eastAsia" w:ascii="宋体"/>
          <w:sz w:val="24"/>
          <w:szCs w:val="24"/>
        </w:rPr>
        <w:t>唐山市丰南区河北丰南临港经济开发区</w:t>
      </w:r>
      <w:r>
        <w:rPr>
          <w:rFonts w:hint="eastAsia" w:ascii="宋体"/>
          <w:sz w:val="24"/>
          <w:szCs w:val="24"/>
          <w:lang w:eastAsia="zh-CN"/>
        </w:rPr>
        <w:t>。</w:t>
      </w:r>
      <w:r>
        <w:rPr>
          <w:rFonts w:hint="eastAsia" w:ascii="宋体"/>
          <w:sz w:val="24"/>
          <w:szCs w:val="24"/>
        </w:rPr>
        <w:t>本项目位于</w:t>
      </w:r>
      <w:r>
        <w:rPr>
          <w:rFonts w:hint="eastAsia" w:ascii="宋体" w:hAnsi="宋体"/>
          <w:color w:val="000000"/>
          <w:sz w:val="24"/>
          <w:szCs w:val="24"/>
        </w:rPr>
        <w:t>唐山正元管业有限公司</w:t>
      </w:r>
      <w:r>
        <w:rPr>
          <w:rFonts w:hint="eastAsia" w:ascii="宋体"/>
          <w:sz w:val="24"/>
          <w:szCs w:val="24"/>
        </w:rPr>
        <w:t>现有厂区内，原为公司闲置用地，不新增占地，项目中心坐标为北</w:t>
      </w:r>
      <w:r>
        <w:rPr>
          <w:rFonts w:hint="eastAsia" w:asciiTheme="minorEastAsia" w:hAnsiTheme="minorEastAsia" w:eastAsiaTheme="minorEastAsia" w:cstheme="minorEastAsia"/>
          <w:sz w:val="24"/>
          <w:szCs w:val="24"/>
        </w:rPr>
        <w:t>纬39°16′46.4"，东经118°04′26.2"。</w:t>
      </w:r>
    </w:p>
    <w:p>
      <w:pPr>
        <w:spacing w:line="480" w:lineRule="atLeast"/>
        <w:ind w:firstLine="480" w:firstLineChars="200"/>
        <w:rPr>
          <w:rFonts w:ascii="宋体"/>
          <w:sz w:val="24"/>
          <w:szCs w:val="24"/>
        </w:rPr>
      </w:pPr>
      <w:r>
        <w:rPr>
          <w:rFonts w:hint="eastAsia" w:ascii="宋体" w:hAnsi="宋体"/>
          <w:color w:val="000000"/>
          <w:sz w:val="24"/>
          <w:szCs w:val="24"/>
        </w:rPr>
        <w:t>唐山正元管业有限公司</w:t>
      </w:r>
      <w:r>
        <w:rPr>
          <w:rFonts w:hint="eastAsia" w:ascii="宋体"/>
          <w:sz w:val="24"/>
          <w:szCs w:val="24"/>
        </w:rPr>
        <w:t>北侧为唐山宝翔化工产品有限公司，东侧为唐山华运铁路交通器材有限公司，南侧为唐山东方雨虹防水技术有限责任公司，西侧为保温材料厂。厂区地理位置见附图1，区域地形及周边关系见附图2。</w:t>
      </w:r>
    </w:p>
    <w:p>
      <w:pPr>
        <w:pStyle w:val="5"/>
      </w:pPr>
      <w:bookmarkStart w:id="19" w:name="_Toc497001438"/>
      <w:bookmarkStart w:id="20" w:name="_Toc496979002"/>
      <w:bookmarkStart w:id="21" w:name="_Toc503884734"/>
      <w:r>
        <w:t xml:space="preserve">2.1.3 </w:t>
      </w:r>
      <w:r>
        <w:rPr>
          <w:rFonts w:hint="eastAsia"/>
        </w:rPr>
        <w:t>厂区平面布置</w:t>
      </w:r>
      <w:bookmarkEnd w:id="19"/>
      <w:bookmarkEnd w:id="20"/>
      <w:bookmarkEnd w:id="21"/>
    </w:p>
    <w:p>
      <w:pPr>
        <w:spacing w:line="480" w:lineRule="atLeast"/>
        <w:ind w:firstLine="480" w:firstLineChars="200"/>
        <w:rPr>
          <w:rFonts w:ascii="宋体"/>
          <w:sz w:val="24"/>
          <w:szCs w:val="24"/>
        </w:rPr>
      </w:pPr>
      <w:r>
        <w:rPr>
          <w:rFonts w:hint="eastAsia" w:ascii="宋体"/>
          <w:sz w:val="24"/>
          <w:szCs w:val="24"/>
        </w:rPr>
        <w:t>项目在</w:t>
      </w:r>
      <w:r>
        <w:rPr>
          <w:rFonts w:hint="eastAsia" w:ascii="宋体" w:hAnsi="宋体"/>
          <w:color w:val="000000"/>
          <w:sz w:val="24"/>
          <w:szCs w:val="24"/>
        </w:rPr>
        <w:t>唐山正元管业有限公司</w:t>
      </w:r>
      <w:r>
        <w:rPr>
          <w:rFonts w:hint="eastAsia" w:ascii="宋体"/>
          <w:sz w:val="24"/>
          <w:szCs w:val="24"/>
        </w:rPr>
        <w:t>现有厂区内建设1座焊管生产线车间和1座综合车间，占地面积12666.73m</w:t>
      </w:r>
      <w:r>
        <w:rPr>
          <w:rFonts w:hint="eastAsia" w:ascii="宋体"/>
          <w:sz w:val="24"/>
          <w:szCs w:val="24"/>
          <w:vertAlign w:val="superscript"/>
        </w:rPr>
        <w:t>2</w:t>
      </w:r>
      <w:r>
        <w:rPr>
          <w:rFonts w:hint="eastAsia" w:ascii="宋体"/>
          <w:sz w:val="24"/>
          <w:szCs w:val="24"/>
        </w:rPr>
        <w:t>。项目自北向南依次是焊管生产线车间和综合车间，在焊管生产线车间自北向南依次为2条60焊管机组生产线、1条重76焊管机组生产线、1条重114焊管机组生产线，综合车间自北向南依次分布水压试验机组和打包带线。</w:t>
      </w:r>
      <w:r>
        <w:rPr>
          <w:rFonts w:hint="eastAsia" w:ascii="宋体" w:hAnsi="宋体"/>
          <w:sz w:val="24"/>
          <w:szCs w:val="24"/>
        </w:rPr>
        <w:t>项目平面布置图见附图</w:t>
      </w:r>
      <w:r>
        <w:rPr>
          <w:rFonts w:ascii="宋体" w:hAnsi="宋体"/>
          <w:sz w:val="24"/>
          <w:szCs w:val="24"/>
        </w:rPr>
        <w:t>3</w:t>
      </w:r>
      <w:r>
        <w:rPr>
          <w:rFonts w:hint="eastAsia" w:ascii="宋体" w:hAnsi="宋体"/>
          <w:sz w:val="24"/>
          <w:szCs w:val="24"/>
        </w:rPr>
        <w:t>。</w:t>
      </w:r>
    </w:p>
    <w:p>
      <w:pPr>
        <w:pStyle w:val="4"/>
      </w:pPr>
      <w:bookmarkStart w:id="22" w:name="_Toc503884735"/>
      <w:r>
        <w:t xml:space="preserve">2.2 </w:t>
      </w:r>
      <w:r>
        <w:rPr>
          <w:rFonts w:hint="eastAsia"/>
        </w:rPr>
        <w:t>建设内容</w:t>
      </w:r>
      <w:bookmarkEnd w:id="22"/>
    </w:p>
    <w:p>
      <w:pPr>
        <w:pStyle w:val="5"/>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2"/>
      </w:pPr>
      <w:bookmarkStart w:id="23" w:name="_Toc496979004"/>
      <w:bookmarkStart w:id="24" w:name="_Toc497001440"/>
      <w:bookmarkStart w:id="25" w:name="_Toc503884736"/>
      <w:r>
        <w:t xml:space="preserve">2.2.1 </w:t>
      </w:r>
      <w:r>
        <w:rPr>
          <w:rFonts w:hint="eastAsia"/>
        </w:rPr>
        <w:t>生产规模及产品方案</w:t>
      </w:r>
      <w:bookmarkEnd w:id="23"/>
      <w:bookmarkEnd w:id="24"/>
      <w:bookmarkEnd w:id="2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Times New Roman"/>
          <w:kern w:val="2"/>
          <w:sz w:val="24"/>
          <w:szCs w:val="24"/>
          <w:lang w:val="en-US" w:eastAsia="zh-CN" w:bidi="ar-SA"/>
        </w:rPr>
      </w:pPr>
      <w:bookmarkStart w:id="26" w:name="_Toc26443"/>
      <w:bookmarkStart w:id="27" w:name="_Toc503884737"/>
      <w:r>
        <w:rPr>
          <w:rFonts w:hint="eastAsia" w:ascii="宋体" w:hAnsi="宋体" w:eastAsia="宋体" w:cs="Times New Roman"/>
          <w:kern w:val="2"/>
          <w:sz w:val="24"/>
          <w:szCs w:val="24"/>
          <w:lang w:val="en-US" w:eastAsia="zh-CN" w:bidi="ar-SA"/>
        </w:rPr>
        <w:t>本项目产品主要为高频直缝焊管，产品主要用于工程构件、低压流体输送、消防和燃气管道等领域，产品方案见表</w:t>
      </w:r>
      <w:r>
        <w:rPr>
          <w:rFonts w:hint="eastAsia" w:ascii="宋体" w:hAnsi="宋体" w:cs="Times New Roman"/>
          <w:kern w:val="2"/>
          <w:sz w:val="24"/>
          <w:szCs w:val="24"/>
          <w:lang w:val="en-US" w:eastAsia="zh-CN" w:bidi="ar-SA"/>
        </w:rPr>
        <w:t>2-2</w:t>
      </w:r>
      <w:r>
        <w:rPr>
          <w:rFonts w:hint="eastAsia" w:ascii="宋体" w:hAnsi="宋体" w:eastAsia="宋体" w:cs="Times New Roman"/>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422" w:firstLineChars="200"/>
        <w:jc w:val="center"/>
        <w:textAlignment w:val="auto"/>
        <w:outlineLvl w:val="9"/>
        <w:rPr>
          <w:rFonts w:hint="eastAsia" w:ascii="宋"/>
        </w:rPr>
      </w:pPr>
      <w:r>
        <w:rPr>
          <w:rFonts w:hint="eastAsia" w:ascii="宋"/>
          <w:b/>
          <w:bCs/>
        </w:rPr>
        <w:t>表</w:t>
      </w:r>
      <w:r>
        <w:rPr>
          <w:rFonts w:hint="eastAsia" w:ascii="宋"/>
          <w:b/>
          <w:bCs/>
          <w:lang w:val="en-US" w:eastAsia="zh-CN"/>
        </w:rPr>
        <w:t>2</w:t>
      </w:r>
      <w:r>
        <w:rPr>
          <w:rFonts w:hint="eastAsia" w:ascii="宋体" w:hAnsi="宋体" w:cs="Times New Roman"/>
          <w:b/>
          <w:bCs/>
          <w:kern w:val="2"/>
          <w:sz w:val="24"/>
          <w:szCs w:val="24"/>
          <w:lang w:val="en-US" w:eastAsia="zh-CN" w:bidi="ar-SA"/>
        </w:rPr>
        <w:t>-2</w:t>
      </w:r>
      <w:r>
        <w:rPr>
          <w:rFonts w:hint="eastAsia" w:ascii="宋"/>
          <w:b/>
          <w:bCs/>
        </w:rPr>
        <w:t xml:space="preserve">  </w:t>
      </w:r>
      <w:r>
        <w:rPr>
          <w:rFonts w:hint="eastAsia" w:ascii="黑体" w:hAnsi="黑体" w:eastAsia="黑体"/>
          <w:b w:val="0"/>
          <w:bCs w:val="0"/>
        </w:rPr>
        <w:t>产 品 方 案 一 览 表</w:t>
      </w:r>
    </w:p>
    <w:tbl>
      <w:tblPr>
        <w:tblStyle w:val="35"/>
        <w:tblW w:w="89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6"/>
        <w:gridCol w:w="1789"/>
        <w:gridCol w:w="1126"/>
        <w:gridCol w:w="1126"/>
        <w:gridCol w:w="1128"/>
        <w:gridCol w:w="1383"/>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62" w:hRule="atLeast"/>
          <w:jc w:val="center"/>
        </w:trPr>
        <w:tc>
          <w:tcPr>
            <w:tcW w:w="616" w:type="dxa"/>
            <w:vMerge w:val="restart"/>
            <w:tcBorders>
              <w:tl2br w:val="nil"/>
              <w:tr2bl w:val="nil"/>
            </w:tcBorders>
            <w:vAlign w:val="center"/>
          </w:tcPr>
          <w:p>
            <w:pPr>
              <w:widowControl/>
              <w:spacing w:line="0" w:lineRule="atLeast"/>
              <w:jc w:val="center"/>
              <w:rPr>
                <w:rFonts w:hAnsi="宋体" w:cs="宋体"/>
                <w:spacing w:val="-10"/>
                <w:kern w:val="0"/>
                <w:sz w:val="23"/>
                <w:szCs w:val="23"/>
              </w:rPr>
            </w:pPr>
            <w:r>
              <w:rPr>
                <w:rFonts w:hint="eastAsia" w:hAnsi="宋体" w:cs="宋体"/>
                <w:spacing w:val="-10"/>
                <w:kern w:val="0"/>
                <w:sz w:val="23"/>
                <w:szCs w:val="23"/>
              </w:rPr>
              <w:t>序号</w:t>
            </w:r>
          </w:p>
        </w:tc>
        <w:tc>
          <w:tcPr>
            <w:tcW w:w="1789" w:type="dxa"/>
            <w:vMerge w:val="restart"/>
            <w:tcBorders>
              <w:tl2br w:val="nil"/>
              <w:tr2bl w:val="nil"/>
            </w:tcBorders>
            <w:vAlign w:val="center"/>
          </w:tcPr>
          <w:p>
            <w:pPr>
              <w:spacing w:line="0" w:lineRule="atLeast"/>
              <w:jc w:val="center"/>
              <w:rPr>
                <w:rFonts w:hAnsi="宋体" w:cs="宋体"/>
                <w:spacing w:val="-10"/>
                <w:kern w:val="0"/>
                <w:sz w:val="23"/>
                <w:szCs w:val="23"/>
              </w:rPr>
            </w:pPr>
            <w:r>
              <w:rPr>
                <w:rFonts w:hint="eastAsia" w:hAnsi="宋体" w:cs="宋体"/>
                <w:spacing w:val="-10"/>
                <w:kern w:val="0"/>
                <w:sz w:val="23"/>
                <w:szCs w:val="23"/>
              </w:rPr>
              <w:t>产品名称</w:t>
            </w:r>
          </w:p>
        </w:tc>
        <w:tc>
          <w:tcPr>
            <w:tcW w:w="3380" w:type="dxa"/>
            <w:gridSpan w:val="3"/>
            <w:tcBorders>
              <w:tl2br w:val="nil"/>
              <w:tr2bl w:val="nil"/>
            </w:tcBorders>
            <w:vAlign w:val="center"/>
          </w:tcPr>
          <w:p>
            <w:pPr>
              <w:spacing w:line="0" w:lineRule="atLeast"/>
              <w:jc w:val="center"/>
              <w:rPr>
                <w:rFonts w:hAnsi="宋体" w:cs="宋体"/>
                <w:spacing w:val="-10"/>
                <w:kern w:val="0"/>
                <w:sz w:val="23"/>
                <w:szCs w:val="23"/>
              </w:rPr>
            </w:pPr>
            <w:r>
              <w:rPr>
                <w:rFonts w:hint="eastAsia" w:hAnsi="宋体" w:cs="宋体"/>
                <w:spacing w:val="-10"/>
                <w:kern w:val="0"/>
                <w:sz w:val="23"/>
                <w:szCs w:val="23"/>
              </w:rPr>
              <w:t>规格系列(mm)</w:t>
            </w:r>
          </w:p>
        </w:tc>
        <w:tc>
          <w:tcPr>
            <w:tcW w:w="1383" w:type="dxa"/>
            <w:vMerge w:val="restart"/>
            <w:tcBorders>
              <w:tl2br w:val="nil"/>
              <w:tr2bl w:val="nil"/>
            </w:tcBorders>
            <w:vAlign w:val="center"/>
          </w:tcPr>
          <w:p>
            <w:pPr>
              <w:widowControl/>
              <w:spacing w:line="0" w:lineRule="atLeast"/>
              <w:jc w:val="center"/>
              <w:rPr>
                <w:rFonts w:hAnsi="宋体" w:cs="宋体"/>
                <w:spacing w:val="-10"/>
                <w:kern w:val="0"/>
                <w:sz w:val="23"/>
                <w:szCs w:val="23"/>
              </w:rPr>
            </w:pPr>
            <w:r>
              <w:rPr>
                <w:rFonts w:hint="eastAsia" w:hAnsi="宋体"/>
                <w:spacing w:val="-10"/>
                <w:sz w:val="23"/>
                <w:szCs w:val="23"/>
              </w:rPr>
              <w:t>典型钢种</w:t>
            </w:r>
          </w:p>
        </w:tc>
        <w:tc>
          <w:tcPr>
            <w:tcW w:w="1791" w:type="dxa"/>
            <w:vMerge w:val="restart"/>
            <w:tcBorders>
              <w:tl2br w:val="nil"/>
              <w:tr2bl w:val="nil"/>
            </w:tcBorders>
            <w:vAlign w:val="center"/>
          </w:tcPr>
          <w:p>
            <w:pPr>
              <w:widowControl/>
              <w:spacing w:line="0" w:lineRule="atLeast"/>
              <w:jc w:val="center"/>
              <w:rPr>
                <w:rFonts w:hAnsi="宋体" w:cs="宋体"/>
                <w:spacing w:val="-10"/>
                <w:kern w:val="0"/>
                <w:sz w:val="23"/>
                <w:szCs w:val="23"/>
              </w:rPr>
            </w:pPr>
            <w:r>
              <w:rPr>
                <w:rFonts w:hint="eastAsia" w:hAnsi="宋体" w:cs="宋体"/>
                <w:spacing w:val="-10"/>
                <w:kern w:val="0"/>
                <w:sz w:val="23"/>
                <w:szCs w:val="23"/>
              </w:rPr>
              <w:t>产量(万t/a)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89" w:hRule="atLeast"/>
          <w:jc w:val="center"/>
        </w:trPr>
        <w:tc>
          <w:tcPr>
            <w:tcW w:w="616" w:type="dxa"/>
            <w:vMerge w:val="continue"/>
            <w:tcBorders>
              <w:tl2br w:val="nil"/>
              <w:tr2bl w:val="nil"/>
            </w:tcBorders>
            <w:vAlign w:val="center"/>
          </w:tcPr>
          <w:p>
            <w:pPr>
              <w:widowControl/>
              <w:spacing w:line="0" w:lineRule="atLeast"/>
              <w:jc w:val="center"/>
              <w:rPr>
                <w:rFonts w:hint="eastAsia" w:hAnsi="宋体" w:cs="宋体"/>
                <w:spacing w:val="-10"/>
                <w:kern w:val="0"/>
                <w:sz w:val="23"/>
                <w:szCs w:val="23"/>
              </w:rPr>
            </w:pPr>
          </w:p>
        </w:tc>
        <w:tc>
          <w:tcPr>
            <w:tcW w:w="1789" w:type="dxa"/>
            <w:vMerge w:val="continue"/>
            <w:tcBorders>
              <w:tl2br w:val="nil"/>
              <w:tr2bl w:val="nil"/>
            </w:tcBorders>
            <w:vAlign w:val="center"/>
          </w:tcPr>
          <w:p>
            <w:pPr>
              <w:spacing w:line="0" w:lineRule="atLeast"/>
              <w:jc w:val="center"/>
              <w:rPr>
                <w:rFonts w:hint="eastAsia" w:hAnsi="宋体" w:cs="宋体"/>
                <w:spacing w:val="-10"/>
                <w:kern w:val="0"/>
                <w:sz w:val="23"/>
                <w:szCs w:val="23"/>
              </w:rPr>
            </w:pP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外径</w:t>
            </w: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壁厚</w:t>
            </w:r>
          </w:p>
        </w:tc>
        <w:tc>
          <w:tcPr>
            <w:tcW w:w="1128"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长度</w:t>
            </w:r>
          </w:p>
        </w:tc>
        <w:tc>
          <w:tcPr>
            <w:tcW w:w="1383" w:type="dxa"/>
            <w:vMerge w:val="continue"/>
            <w:tcBorders>
              <w:tl2br w:val="nil"/>
              <w:tr2bl w:val="nil"/>
            </w:tcBorders>
            <w:vAlign w:val="center"/>
          </w:tcPr>
          <w:p>
            <w:pPr>
              <w:widowControl/>
              <w:spacing w:line="0" w:lineRule="atLeast"/>
              <w:jc w:val="center"/>
              <w:rPr>
                <w:rFonts w:hint="eastAsia" w:hAnsi="宋体" w:cs="宋体"/>
                <w:spacing w:val="-10"/>
                <w:kern w:val="0"/>
                <w:sz w:val="23"/>
                <w:szCs w:val="23"/>
              </w:rPr>
            </w:pPr>
          </w:p>
        </w:tc>
        <w:tc>
          <w:tcPr>
            <w:tcW w:w="1791" w:type="dxa"/>
            <w:vMerge w:val="continue"/>
            <w:tcBorders>
              <w:tl2br w:val="nil"/>
              <w:tr2bl w:val="nil"/>
            </w:tcBorders>
            <w:vAlign w:val="center"/>
          </w:tcPr>
          <w:p>
            <w:pPr>
              <w:widowControl/>
              <w:spacing w:line="0" w:lineRule="atLeast"/>
              <w:jc w:val="center"/>
              <w:rPr>
                <w:rFonts w:hint="eastAsia" w:hAnsi="宋体" w:cs="宋体"/>
                <w:spacing w:val="-10"/>
                <w:kern w:val="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616"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1</w:t>
            </w:r>
          </w:p>
        </w:tc>
        <w:tc>
          <w:tcPr>
            <w:tcW w:w="1789"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60焊管</w:t>
            </w: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33-60</w:t>
            </w: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1.5-3.8</w:t>
            </w:r>
          </w:p>
        </w:tc>
        <w:tc>
          <w:tcPr>
            <w:tcW w:w="1128"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6000</w:t>
            </w:r>
          </w:p>
        </w:tc>
        <w:tc>
          <w:tcPr>
            <w:tcW w:w="1383"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热轧低碳钢</w:t>
            </w:r>
          </w:p>
        </w:tc>
        <w:tc>
          <w:tcPr>
            <w:tcW w:w="1791"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616"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2</w:t>
            </w:r>
          </w:p>
        </w:tc>
        <w:tc>
          <w:tcPr>
            <w:tcW w:w="1789"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重76焊管</w:t>
            </w: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48-75</w:t>
            </w: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1.6-4.0</w:t>
            </w:r>
          </w:p>
        </w:tc>
        <w:tc>
          <w:tcPr>
            <w:tcW w:w="1128"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6000</w:t>
            </w:r>
          </w:p>
        </w:tc>
        <w:tc>
          <w:tcPr>
            <w:tcW w:w="1383"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热轧低碳钢</w:t>
            </w:r>
          </w:p>
        </w:tc>
        <w:tc>
          <w:tcPr>
            <w:tcW w:w="1791"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616"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3</w:t>
            </w:r>
          </w:p>
        </w:tc>
        <w:tc>
          <w:tcPr>
            <w:tcW w:w="1789"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重114焊管</w:t>
            </w: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88-140</w:t>
            </w: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1.8-5.0</w:t>
            </w:r>
          </w:p>
        </w:tc>
        <w:tc>
          <w:tcPr>
            <w:tcW w:w="1128"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6000</w:t>
            </w:r>
          </w:p>
        </w:tc>
        <w:tc>
          <w:tcPr>
            <w:tcW w:w="1383"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热轧低碳钢</w:t>
            </w:r>
          </w:p>
        </w:tc>
        <w:tc>
          <w:tcPr>
            <w:tcW w:w="1791"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616"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4</w:t>
            </w:r>
          </w:p>
        </w:tc>
        <w:tc>
          <w:tcPr>
            <w:tcW w:w="1789"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合计</w:t>
            </w: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w:t>
            </w:r>
          </w:p>
        </w:tc>
        <w:tc>
          <w:tcPr>
            <w:tcW w:w="1126"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w:t>
            </w:r>
          </w:p>
        </w:tc>
        <w:tc>
          <w:tcPr>
            <w:tcW w:w="1128"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w:t>
            </w:r>
          </w:p>
        </w:tc>
        <w:tc>
          <w:tcPr>
            <w:tcW w:w="1383" w:type="dxa"/>
            <w:tcBorders>
              <w:tl2br w:val="nil"/>
              <w:tr2bl w:val="nil"/>
            </w:tcBorders>
            <w:vAlign w:val="center"/>
          </w:tcPr>
          <w:p>
            <w:pPr>
              <w:widowControl/>
              <w:spacing w:line="0" w:lineRule="atLeast"/>
              <w:jc w:val="center"/>
              <w:rPr>
                <w:rFonts w:hint="eastAsia" w:hAnsi="宋体" w:cs="宋体"/>
                <w:spacing w:val="-10"/>
                <w:kern w:val="0"/>
                <w:sz w:val="23"/>
                <w:szCs w:val="23"/>
              </w:rPr>
            </w:pPr>
            <w:r>
              <w:rPr>
                <w:rFonts w:hint="eastAsia" w:hAnsi="宋体" w:cs="宋体"/>
                <w:spacing w:val="-10"/>
                <w:kern w:val="0"/>
                <w:sz w:val="23"/>
                <w:szCs w:val="23"/>
              </w:rPr>
              <w:t>--</w:t>
            </w:r>
          </w:p>
        </w:tc>
        <w:tc>
          <w:tcPr>
            <w:tcW w:w="1791" w:type="dxa"/>
            <w:tcBorders>
              <w:tl2br w:val="nil"/>
              <w:tr2bl w:val="nil"/>
            </w:tcBorders>
            <w:vAlign w:val="center"/>
          </w:tcPr>
          <w:p>
            <w:pPr>
              <w:spacing w:line="0" w:lineRule="atLeast"/>
              <w:jc w:val="center"/>
              <w:rPr>
                <w:rFonts w:hint="eastAsia" w:hAnsi="宋体" w:cs="宋体"/>
                <w:spacing w:val="-10"/>
                <w:kern w:val="0"/>
                <w:sz w:val="23"/>
                <w:szCs w:val="23"/>
              </w:rPr>
            </w:pPr>
            <w:r>
              <w:rPr>
                <w:rFonts w:hint="eastAsia" w:hAnsi="宋体" w:cs="宋体"/>
                <w:spacing w:val="-10"/>
                <w:kern w:val="0"/>
                <w:sz w:val="23"/>
                <w:szCs w:val="23"/>
              </w:rPr>
              <w:t>40</w:t>
            </w:r>
          </w:p>
        </w:tc>
      </w:tr>
      <w:bookmarkEnd w:id="26"/>
      <w:bookmarkEnd w:id="27"/>
    </w:tbl>
    <w:p>
      <w:pPr>
        <w:pStyle w:val="5"/>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2"/>
      </w:pPr>
      <w:bookmarkStart w:id="28" w:name="_Toc503884738"/>
      <w:bookmarkStart w:id="29" w:name="_Toc497001441"/>
      <w:bookmarkStart w:id="30" w:name="_Toc496979005"/>
      <w:r>
        <w:t xml:space="preserve">2.2.2 </w:t>
      </w:r>
      <w:r>
        <w:rPr>
          <w:rFonts w:hint="eastAsia"/>
        </w:rPr>
        <w:t>主要原辅材料</w:t>
      </w:r>
      <w:bookmarkEnd w:id="28"/>
      <w:bookmarkEnd w:id="29"/>
      <w:bookmarkEnd w:id="30"/>
    </w:p>
    <w:p>
      <w:pPr>
        <w:spacing w:line="440" w:lineRule="atLeast"/>
        <w:ind w:firstLine="480"/>
        <w:rPr>
          <w:rFonts w:ascii="宋体"/>
          <w:sz w:val="24"/>
          <w:szCs w:val="24"/>
        </w:rPr>
      </w:pPr>
      <w:r>
        <w:rPr>
          <w:rFonts w:hint="eastAsia" w:ascii="宋体" w:hAnsi="宋体"/>
          <w:sz w:val="24"/>
          <w:szCs w:val="24"/>
        </w:rPr>
        <w:t>原辅材料消耗</w:t>
      </w:r>
      <w:r>
        <w:rPr>
          <w:rFonts w:hint="eastAsia" w:ascii="宋体" w:hAnsi="宋体"/>
          <w:sz w:val="24"/>
          <w:szCs w:val="24"/>
          <w:lang w:eastAsia="zh-CN"/>
        </w:rPr>
        <w:t>情况</w:t>
      </w:r>
      <w:r>
        <w:rPr>
          <w:rFonts w:hint="eastAsia" w:ascii="宋体" w:hAnsi="宋体"/>
          <w:sz w:val="24"/>
          <w:szCs w:val="24"/>
        </w:rPr>
        <w:t>见表</w:t>
      </w:r>
      <w:r>
        <w:rPr>
          <w:rFonts w:ascii="宋体" w:hAnsi="宋体"/>
          <w:sz w:val="24"/>
          <w:szCs w:val="24"/>
        </w:rPr>
        <w:t>2-</w:t>
      </w:r>
      <w:r>
        <w:rPr>
          <w:rFonts w:hint="eastAsia" w:ascii="宋体" w:hAnsi="宋体"/>
          <w:sz w:val="24"/>
          <w:szCs w:val="24"/>
          <w:lang w:val="en-US" w:eastAsia="zh-CN"/>
        </w:rPr>
        <w:t>3</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val="0"/>
        <w:snapToGrid w:val="0"/>
        <w:spacing w:before="157" w:beforeLines="50" w:line="480" w:lineRule="atLeast"/>
        <w:ind w:left="0" w:leftChars="0" w:right="0" w:rightChars="0" w:firstLine="0" w:firstLineChars="0"/>
        <w:jc w:val="center"/>
        <w:textAlignment w:val="auto"/>
        <w:outlineLvl w:val="9"/>
        <w:rPr>
          <w:rFonts w:ascii="宋体"/>
          <w:b/>
          <w:sz w:val="24"/>
          <w:szCs w:val="24"/>
        </w:rPr>
      </w:pPr>
      <w:r>
        <w:rPr>
          <w:rFonts w:hint="eastAsia" w:ascii="宋体" w:hAnsi="宋体"/>
          <w:b/>
          <w:sz w:val="24"/>
          <w:szCs w:val="24"/>
        </w:rPr>
        <w:t>表</w:t>
      </w:r>
      <w:r>
        <w:rPr>
          <w:rFonts w:ascii="宋体" w:hAnsi="宋体"/>
          <w:b/>
          <w:sz w:val="24"/>
          <w:szCs w:val="24"/>
        </w:rPr>
        <w:t>2-</w:t>
      </w:r>
      <w:r>
        <w:rPr>
          <w:rFonts w:hint="eastAsia" w:ascii="宋体" w:hAnsi="宋体"/>
          <w:b/>
          <w:sz w:val="24"/>
          <w:szCs w:val="24"/>
          <w:lang w:val="en-US" w:eastAsia="zh-CN"/>
        </w:rPr>
        <w:t>3</w:t>
      </w:r>
      <w:r>
        <w:rPr>
          <w:rFonts w:ascii="宋体" w:hAnsi="宋体"/>
          <w:b/>
          <w:sz w:val="24"/>
          <w:szCs w:val="24"/>
        </w:rPr>
        <w:t xml:space="preserve">  </w:t>
      </w:r>
      <w:r>
        <w:rPr>
          <w:rFonts w:hint="eastAsia" w:ascii="宋体" w:hAnsi="宋体"/>
          <w:b/>
          <w:sz w:val="24"/>
          <w:szCs w:val="24"/>
        </w:rPr>
        <w:t>原辅材料消耗表</w:t>
      </w:r>
    </w:p>
    <w:tbl>
      <w:tblPr>
        <w:tblStyle w:val="35"/>
        <w:tblW w:w="89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8"/>
        <w:gridCol w:w="1057"/>
        <w:gridCol w:w="762"/>
        <w:gridCol w:w="1191"/>
        <w:gridCol w:w="1774"/>
        <w:gridCol w:w="1774"/>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21" w:hRule="atLeast"/>
          <w:jc w:val="center"/>
        </w:trPr>
        <w:tc>
          <w:tcPr>
            <w:tcW w:w="658" w:type="dxa"/>
            <w:tcBorders>
              <w:tl2br w:val="nil"/>
              <w:tr2bl w:val="nil"/>
            </w:tcBorders>
            <w:vAlign w:val="center"/>
          </w:tcPr>
          <w:p>
            <w:pPr>
              <w:spacing w:line="0" w:lineRule="atLeast"/>
              <w:jc w:val="center"/>
              <w:outlineLvl w:val="2"/>
              <w:rPr>
                <w:rFonts w:hint="eastAsia" w:hAnsi="宋体"/>
                <w:spacing w:val="-10"/>
                <w:sz w:val="23"/>
                <w:szCs w:val="23"/>
              </w:rPr>
            </w:pPr>
            <w:r>
              <w:rPr>
                <w:rFonts w:hint="eastAsia" w:hAnsi="宋体"/>
                <w:spacing w:val="-10"/>
                <w:sz w:val="23"/>
                <w:szCs w:val="23"/>
              </w:rPr>
              <w:t>序号</w:t>
            </w:r>
          </w:p>
        </w:tc>
        <w:tc>
          <w:tcPr>
            <w:tcW w:w="1057" w:type="dxa"/>
            <w:tcBorders>
              <w:tl2br w:val="nil"/>
              <w:tr2bl w:val="nil"/>
            </w:tcBorders>
            <w:vAlign w:val="center"/>
          </w:tcPr>
          <w:p>
            <w:pPr>
              <w:spacing w:line="0" w:lineRule="atLeast"/>
              <w:jc w:val="center"/>
              <w:outlineLvl w:val="2"/>
              <w:rPr>
                <w:rFonts w:hint="eastAsia" w:hAnsi="宋体"/>
                <w:spacing w:val="-10"/>
                <w:sz w:val="23"/>
                <w:szCs w:val="23"/>
              </w:rPr>
            </w:pPr>
            <w:r>
              <w:rPr>
                <w:rFonts w:hAnsi="宋体"/>
                <w:spacing w:val="-10"/>
                <w:sz w:val="23"/>
                <w:szCs w:val="23"/>
              </w:rPr>
              <w:t>原料名称</w:t>
            </w:r>
          </w:p>
        </w:tc>
        <w:tc>
          <w:tcPr>
            <w:tcW w:w="762" w:type="dxa"/>
            <w:tcBorders>
              <w:tl2br w:val="nil"/>
              <w:tr2bl w:val="nil"/>
            </w:tcBorders>
            <w:vAlign w:val="center"/>
          </w:tcPr>
          <w:p>
            <w:pPr>
              <w:spacing w:line="0" w:lineRule="atLeast"/>
              <w:jc w:val="center"/>
              <w:outlineLvl w:val="2"/>
              <w:rPr>
                <w:rFonts w:hint="eastAsia" w:hAnsi="宋体"/>
                <w:spacing w:val="-10"/>
                <w:sz w:val="23"/>
                <w:szCs w:val="23"/>
              </w:rPr>
            </w:pPr>
            <w:r>
              <w:rPr>
                <w:rFonts w:hAnsi="宋体"/>
                <w:spacing w:val="-10"/>
                <w:sz w:val="23"/>
                <w:szCs w:val="23"/>
              </w:rPr>
              <w:t>单位</w:t>
            </w:r>
          </w:p>
        </w:tc>
        <w:tc>
          <w:tcPr>
            <w:tcW w:w="1191" w:type="dxa"/>
            <w:tcBorders>
              <w:tl2br w:val="nil"/>
              <w:tr2bl w:val="nil"/>
            </w:tcBorders>
            <w:vAlign w:val="center"/>
          </w:tcPr>
          <w:p>
            <w:pPr>
              <w:spacing w:line="0" w:lineRule="atLeast"/>
              <w:jc w:val="center"/>
              <w:outlineLvl w:val="2"/>
              <w:rPr>
                <w:rFonts w:hint="eastAsia" w:hAnsi="宋体"/>
                <w:spacing w:val="-10"/>
                <w:sz w:val="23"/>
                <w:szCs w:val="23"/>
              </w:rPr>
            </w:pPr>
            <w:r>
              <w:rPr>
                <w:rFonts w:hint="eastAsia" w:hAnsi="宋体"/>
                <w:spacing w:val="-10"/>
                <w:sz w:val="23"/>
                <w:szCs w:val="23"/>
              </w:rPr>
              <w:t>消耗量</w:t>
            </w:r>
          </w:p>
        </w:tc>
        <w:tc>
          <w:tcPr>
            <w:tcW w:w="1774" w:type="dxa"/>
            <w:tcBorders>
              <w:tl2br w:val="nil"/>
              <w:tr2bl w:val="nil"/>
            </w:tcBorders>
            <w:vAlign w:val="center"/>
          </w:tcPr>
          <w:p>
            <w:pPr>
              <w:autoSpaceDE w:val="0"/>
              <w:autoSpaceDN w:val="0"/>
              <w:adjustRightInd w:val="0"/>
              <w:spacing w:line="0" w:lineRule="atLeast"/>
              <w:jc w:val="center"/>
              <w:rPr>
                <w:rFonts w:hAnsi="宋体"/>
                <w:spacing w:val="-10"/>
                <w:sz w:val="23"/>
                <w:szCs w:val="23"/>
              </w:rPr>
            </w:pPr>
            <w:r>
              <w:rPr>
                <w:rFonts w:hAnsi="宋体"/>
                <w:spacing w:val="-10"/>
                <w:sz w:val="23"/>
                <w:szCs w:val="23"/>
              </w:rPr>
              <w:t>运输方式</w:t>
            </w:r>
          </w:p>
        </w:tc>
        <w:tc>
          <w:tcPr>
            <w:tcW w:w="1774" w:type="dxa"/>
            <w:tcBorders>
              <w:tl2br w:val="nil"/>
              <w:tr2bl w:val="nil"/>
            </w:tcBorders>
            <w:vAlign w:val="center"/>
          </w:tcPr>
          <w:p>
            <w:pPr>
              <w:autoSpaceDE w:val="0"/>
              <w:autoSpaceDN w:val="0"/>
              <w:adjustRightInd w:val="0"/>
              <w:spacing w:line="0" w:lineRule="atLeast"/>
              <w:jc w:val="center"/>
              <w:rPr>
                <w:rFonts w:hAnsi="宋体"/>
                <w:spacing w:val="-10"/>
                <w:sz w:val="23"/>
                <w:szCs w:val="23"/>
              </w:rPr>
            </w:pPr>
            <w:r>
              <w:rPr>
                <w:rFonts w:hAnsi="宋体"/>
                <w:spacing w:val="-10"/>
                <w:sz w:val="23"/>
                <w:szCs w:val="23"/>
              </w:rPr>
              <w:t>贮存方式</w:t>
            </w:r>
          </w:p>
        </w:tc>
        <w:tc>
          <w:tcPr>
            <w:tcW w:w="1743" w:type="dxa"/>
            <w:tcBorders>
              <w:tl2br w:val="nil"/>
              <w:tr2bl w:val="nil"/>
            </w:tcBorders>
            <w:vAlign w:val="center"/>
          </w:tcPr>
          <w:p>
            <w:pPr>
              <w:spacing w:line="0" w:lineRule="atLeast"/>
              <w:jc w:val="center"/>
              <w:outlineLvl w:val="2"/>
              <w:rPr>
                <w:rFonts w:hint="eastAsia" w:hAnsi="宋体"/>
                <w:spacing w:val="-10"/>
                <w:sz w:val="23"/>
                <w:szCs w:val="23"/>
              </w:rPr>
            </w:pPr>
            <w:r>
              <w:rPr>
                <w:rFonts w:hint="eastAsia" w:hAnsi="宋体"/>
                <w:spacing w:val="-10"/>
                <w:sz w:val="23"/>
                <w:szCs w:val="23"/>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95" w:hRule="atLeast"/>
          <w:jc w:val="center"/>
        </w:trPr>
        <w:tc>
          <w:tcPr>
            <w:tcW w:w="658" w:type="dxa"/>
            <w:tcBorders>
              <w:tl2br w:val="nil"/>
              <w:tr2bl w:val="nil"/>
            </w:tcBorders>
            <w:vAlign w:val="center"/>
          </w:tcPr>
          <w:p>
            <w:pPr>
              <w:spacing w:line="0" w:lineRule="atLeast"/>
              <w:jc w:val="center"/>
              <w:outlineLvl w:val="2"/>
              <w:rPr>
                <w:rFonts w:hint="eastAsia" w:hAnsi="宋体"/>
                <w:spacing w:val="-10"/>
                <w:sz w:val="23"/>
                <w:szCs w:val="23"/>
              </w:rPr>
            </w:pPr>
            <w:r>
              <w:rPr>
                <w:rFonts w:hint="eastAsia" w:hAnsi="宋体"/>
                <w:spacing w:val="-10"/>
                <w:sz w:val="23"/>
                <w:szCs w:val="23"/>
              </w:rPr>
              <w:t>1</w:t>
            </w:r>
          </w:p>
        </w:tc>
        <w:tc>
          <w:tcPr>
            <w:tcW w:w="105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热轧钢卷</w:t>
            </w:r>
          </w:p>
        </w:tc>
        <w:tc>
          <w:tcPr>
            <w:tcW w:w="762" w:type="dxa"/>
            <w:tcBorders>
              <w:tl2br w:val="nil"/>
              <w:tr2bl w:val="nil"/>
            </w:tcBorders>
            <w:vAlign w:val="center"/>
          </w:tcPr>
          <w:p>
            <w:pPr>
              <w:spacing w:line="0" w:lineRule="atLeast"/>
              <w:jc w:val="center"/>
              <w:outlineLvl w:val="2"/>
              <w:rPr>
                <w:rFonts w:hint="eastAsia" w:hAnsi="宋体"/>
                <w:spacing w:val="-10"/>
                <w:sz w:val="23"/>
                <w:szCs w:val="23"/>
              </w:rPr>
            </w:pPr>
            <w:r>
              <w:rPr>
                <w:rFonts w:hint="eastAsia" w:hAnsi="宋体"/>
                <w:spacing w:val="-10"/>
                <w:sz w:val="23"/>
                <w:szCs w:val="23"/>
              </w:rPr>
              <w:t>t/a</w:t>
            </w:r>
          </w:p>
        </w:tc>
        <w:tc>
          <w:tcPr>
            <w:tcW w:w="1191" w:type="dxa"/>
            <w:tcBorders>
              <w:tl2br w:val="nil"/>
              <w:tr2bl w:val="nil"/>
            </w:tcBorders>
            <w:vAlign w:val="center"/>
          </w:tcPr>
          <w:p>
            <w:pPr>
              <w:spacing w:line="0" w:lineRule="atLeast"/>
              <w:jc w:val="center"/>
              <w:outlineLvl w:val="2"/>
              <w:rPr>
                <w:rFonts w:hint="eastAsia" w:hAnsi="宋体"/>
                <w:spacing w:val="-10"/>
                <w:sz w:val="23"/>
                <w:szCs w:val="23"/>
              </w:rPr>
            </w:pPr>
            <w:r>
              <w:rPr>
                <w:rFonts w:hint="eastAsia" w:hAnsi="宋体"/>
                <w:spacing w:val="-10"/>
                <w:sz w:val="23"/>
                <w:szCs w:val="23"/>
              </w:rPr>
              <w:t>42万t/a</w:t>
            </w:r>
          </w:p>
        </w:tc>
        <w:tc>
          <w:tcPr>
            <w:tcW w:w="177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汽车</w:t>
            </w:r>
          </w:p>
        </w:tc>
        <w:tc>
          <w:tcPr>
            <w:tcW w:w="177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堆场堆存</w:t>
            </w:r>
          </w:p>
        </w:tc>
        <w:tc>
          <w:tcPr>
            <w:tcW w:w="1743"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高频焊管生产原料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95" w:hRule="atLeast"/>
          <w:jc w:val="center"/>
        </w:trPr>
        <w:tc>
          <w:tcPr>
            <w:tcW w:w="658" w:type="dxa"/>
            <w:tcBorders>
              <w:tl2br w:val="nil"/>
              <w:tr2bl w:val="nil"/>
            </w:tcBorders>
            <w:vAlign w:val="center"/>
          </w:tcPr>
          <w:p>
            <w:pPr>
              <w:spacing w:line="0" w:lineRule="atLeast"/>
              <w:jc w:val="center"/>
              <w:outlineLvl w:val="2"/>
              <w:rPr>
                <w:rFonts w:hint="eastAsia" w:hAnsi="宋体"/>
                <w:spacing w:val="-10"/>
                <w:sz w:val="23"/>
                <w:szCs w:val="23"/>
              </w:rPr>
            </w:pPr>
            <w:r>
              <w:rPr>
                <w:rFonts w:hint="eastAsia" w:hAnsi="宋体"/>
                <w:spacing w:val="-10"/>
                <w:sz w:val="23"/>
                <w:szCs w:val="23"/>
              </w:rPr>
              <w:t>2</w:t>
            </w:r>
          </w:p>
        </w:tc>
        <w:tc>
          <w:tcPr>
            <w:tcW w:w="105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钛钙焊条</w:t>
            </w:r>
          </w:p>
        </w:tc>
        <w:tc>
          <w:tcPr>
            <w:tcW w:w="762"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t/a</w:t>
            </w:r>
          </w:p>
        </w:tc>
        <w:tc>
          <w:tcPr>
            <w:tcW w:w="1191"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8.4t/a</w:t>
            </w:r>
          </w:p>
        </w:tc>
        <w:tc>
          <w:tcPr>
            <w:tcW w:w="177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汽车</w:t>
            </w:r>
          </w:p>
        </w:tc>
        <w:tc>
          <w:tcPr>
            <w:tcW w:w="177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箱装存于库房</w:t>
            </w:r>
          </w:p>
        </w:tc>
        <w:tc>
          <w:tcPr>
            <w:tcW w:w="1743"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带钢头尾焊接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95" w:hRule="atLeast"/>
          <w:jc w:val="center"/>
        </w:trPr>
        <w:tc>
          <w:tcPr>
            <w:tcW w:w="658" w:type="dxa"/>
            <w:tcBorders>
              <w:tl2br w:val="nil"/>
              <w:tr2bl w:val="nil"/>
            </w:tcBorders>
            <w:vAlign w:val="center"/>
          </w:tcPr>
          <w:p>
            <w:pPr>
              <w:spacing w:line="0" w:lineRule="atLeast"/>
              <w:jc w:val="center"/>
              <w:outlineLvl w:val="2"/>
              <w:rPr>
                <w:rFonts w:hint="eastAsia" w:hAnsi="宋体"/>
                <w:spacing w:val="-10"/>
                <w:sz w:val="23"/>
                <w:szCs w:val="23"/>
              </w:rPr>
            </w:pPr>
            <w:r>
              <w:rPr>
                <w:rFonts w:hint="eastAsia" w:hAnsi="宋体"/>
                <w:spacing w:val="-10"/>
                <w:sz w:val="23"/>
                <w:szCs w:val="23"/>
              </w:rPr>
              <w:t>3</w:t>
            </w:r>
          </w:p>
        </w:tc>
        <w:tc>
          <w:tcPr>
            <w:tcW w:w="105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液压油</w:t>
            </w:r>
          </w:p>
        </w:tc>
        <w:tc>
          <w:tcPr>
            <w:tcW w:w="762"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t/a</w:t>
            </w:r>
          </w:p>
        </w:tc>
        <w:tc>
          <w:tcPr>
            <w:tcW w:w="1191"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0.6</w:t>
            </w:r>
          </w:p>
        </w:tc>
        <w:tc>
          <w:tcPr>
            <w:tcW w:w="177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汽车</w:t>
            </w:r>
          </w:p>
        </w:tc>
        <w:tc>
          <w:tcPr>
            <w:tcW w:w="177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桶装存于库房</w:t>
            </w:r>
          </w:p>
        </w:tc>
        <w:tc>
          <w:tcPr>
            <w:tcW w:w="1743"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液压传动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95" w:hRule="atLeast"/>
          <w:jc w:val="center"/>
        </w:trPr>
        <w:tc>
          <w:tcPr>
            <w:tcW w:w="658" w:type="dxa"/>
            <w:tcBorders>
              <w:tl2br w:val="nil"/>
              <w:tr2bl w:val="nil"/>
            </w:tcBorders>
            <w:vAlign w:val="center"/>
          </w:tcPr>
          <w:p>
            <w:pPr>
              <w:spacing w:line="0" w:lineRule="atLeast"/>
              <w:jc w:val="center"/>
              <w:outlineLvl w:val="2"/>
              <w:rPr>
                <w:rFonts w:hint="eastAsia" w:hAnsi="宋体"/>
                <w:spacing w:val="-10"/>
                <w:sz w:val="23"/>
                <w:szCs w:val="23"/>
              </w:rPr>
            </w:pPr>
            <w:r>
              <w:rPr>
                <w:rFonts w:hint="eastAsia" w:hAnsi="宋体"/>
                <w:spacing w:val="-10"/>
                <w:sz w:val="23"/>
                <w:szCs w:val="23"/>
              </w:rPr>
              <w:t>4</w:t>
            </w:r>
          </w:p>
        </w:tc>
        <w:tc>
          <w:tcPr>
            <w:tcW w:w="105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润滑油</w:t>
            </w:r>
          </w:p>
        </w:tc>
        <w:tc>
          <w:tcPr>
            <w:tcW w:w="762"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t/a</w:t>
            </w:r>
          </w:p>
        </w:tc>
        <w:tc>
          <w:tcPr>
            <w:tcW w:w="1191"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1.0</w:t>
            </w:r>
          </w:p>
        </w:tc>
        <w:tc>
          <w:tcPr>
            <w:tcW w:w="177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汽车</w:t>
            </w:r>
          </w:p>
        </w:tc>
        <w:tc>
          <w:tcPr>
            <w:tcW w:w="177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桶装存于库房</w:t>
            </w:r>
          </w:p>
        </w:tc>
        <w:tc>
          <w:tcPr>
            <w:tcW w:w="1743"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机械润滑</w:t>
            </w:r>
          </w:p>
        </w:tc>
      </w:tr>
    </w:tbl>
    <w:p>
      <w:pPr>
        <w:pStyle w:val="5"/>
      </w:pPr>
      <w:r>
        <w:t>2.2.</w:t>
      </w:r>
      <w:r>
        <w:rPr>
          <w:rFonts w:hint="eastAsia"/>
          <w:lang w:val="en-US" w:eastAsia="zh-CN"/>
        </w:rPr>
        <w:t>3</w:t>
      </w:r>
      <w:r>
        <w:t xml:space="preserve"> </w:t>
      </w:r>
      <w:r>
        <w:rPr>
          <w:rFonts w:hint="eastAsia"/>
        </w:rPr>
        <w:t>生产设备</w:t>
      </w:r>
    </w:p>
    <w:p>
      <w:pPr>
        <w:adjustRightInd w:val="0"/>
        <w:snapToGrid w:val="0"/>
        <w:spacing w:line="480" w:lineRule="atLeast"/>
        <w:ind w:firstLine="480" w:firstLineChars="200"/>
        <w:rPr>
          <w:rFonts w:hint="eastAsia" w:ascii="宋体" w:hAnsi="宋体"/>
          <w:sz w:val="24"/>
          <w:szCs w:val="24"/>
        </w:rPr>
      </w:pPr>
      <w:r>
        <w:rPr>
          <w:rFonts w:hint="eastAsia" w:ascii="宋体" w:hAnsi="宋体"/>
          <w:sz w:val="24"/>
          <w:szCs w:val="24"/>
        </w:rPr>
        <w:t>项目设备一览表见表</w:t>
      </w:r>
      <w:r>
        <w:rPr>
          <w:rFonts w:ascii="宋体" w:hAnsi="宋体"/>
          <w:sz w:val="24"/>
          <w:szCs w:val="24"/>
        </w:rPr>
        <w:t>2-</w:t>
      </w:r>
      <w:r>
        <w:rPr>
          <w:rFonts w:hint="eastAsia" w:ascii="宋体" w:hAnsi="宋体"/>
          <w:sz w:val="24"/>
          <w:szCs w:val="24"/>
          <w:lang w:val="en-US" w:eastAsia="zh-CN"/>
        </w:rPr>
        <w:t>4</w:t>
      </w:r>
      <w:r>
        <w:rPr>
          <w:rFonts w:hint="eastAsia" w:ascii="宋体" w:hAnsi="宋体"/>
          <w:sz w:val="24"/>
          <w:szCs w:val="24"/>
        </w:rPr>
        <w:t>。</w:t>
      </w:r>
    </w:p>
    <w:p>
      <w:pPr>
        <w:spacing w:line="480" w:lineRule="atLeast"/>
        <w:jc w:val="center"/>
        <w:rPr>
          <w:rFonts w:ascii="宋体"/>
          <w:b/>
          <w:sz w:val="24"/>
          <w:szCs w:val="24"/>
        </w:rPr>
      </w:pPr>
      <w:r>
        <w:rPr>
          <w:rFonts w:hint="eastAsia" w:ascii="宋体" w:hAnsi="宋体"/>
          <w:b/>
          <w:sz w:val="24"/>
          <w:szCs w:val="24"/>
        </w:rPr>
        <w:br w:type="page"/>
      </w:r>
      <w:r>
        <w:rPr>
          <w:rFonts w:hint="eastAsia" w:ascii="宋体" w:hAnsi="宋体"/>
          <w:b/>
          <w:sz w:val="24"/>
          <w:szCs w:val="24"/>
        </w:rPr>
        <w:t>表</w:t>
      </w:r>
      <w:r>
        <w:rPr>
          <w:rFonts w:ascii="宋体" w:hAnsi="宋体"/>
          <w:b/>
          <w:sz w:val="24"/>
          <w:szCs w:val="24"/>
        </w:rPr>
        <w:t>2-</w:t>
      </w:r>
      <w:r>
        <w:rPr>
          <w:rFonts w:hint="eastAsia" w:ascii="宋体" w:hAnsi="宋体"/>
          <w:b/>
          <w:sz w:val="24"/>
          <w:szCs w:val="24"/>
          <w:lang w:val="en-US" w:eastAsia="zh-CN"/>
        </w:rPr>
        <w:t>4</w:t>
      </w:r>
      <w:r>
        <w:rPr>
          <w:rFonts w:ascii="宋体" w:hAnsi="宋体"/>
          <w:b/>
          <w:sz w:val="24"/>
          <w:szCs w:val="24"/>
        </w:rPr>
        <w:t xml:space="preserve">  </w:t>
      </w:r>
      <w:r>
        <w:rPr>
          <w:rFonts w:hint="eastAsia" w:ascii="宋体" w:hAnsi="宋体"/>
          <w:b/>
          <w:sz w:val="24"/>
          <w:szCs w:val="24"/>
        </w:rPr>
        <w:t>设备一览表</w:t>
      </w:r>
    </w:p>
    <w:tbl>
      <w:tblPr>
        <w:tblStyle w:val="35"/>
        <w:tblW w:w="89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08"/>
        <w:gridCol w:w="1648"/>
        <w:gridCol w:w="1990"/>
        <w:gridCol w:w="792"/>
        <w:gridCol w:w="452"/>
        <w:gridCol w:w="1480"/>
        <w:gridCol w:w="1500"/>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51" w:hRule="atLeast"/>
          <w:jc w:val="center"/>
        </w:trPr>
        <w:tc>
          <w:tcPr>
            <w:tcW w:w="40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序号</w:t>
            </w:r>
          </w:p>
        </w:tc>
        <w:tc>
          <w:tcPr>
            <w:tcW w:w="164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设备名称</w:t>
            </w:r>
          </w:p>
        </w:tc>
        <w:tc>
          <w:tcPr>
            <w:tcW w:w="1990"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规格型号</w:t>
            </w:r>
          </w:p>
        </w:tc>
        <w:tc>
          <w:tcPr>
            <w:tcW w:w="792"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台(套)</w:t>
            </w:r>
          </w:p>
        </w:tc>
        <w:tc>
          <w:tcPr>
            <w:tcW w:w="452"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序号</w:t>
            </w:r>
          </w:p>
        </w:tc>
        <w:tc>
          <w:tcPr>
            <w:tcW w:w="1480"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设备名称</w:t>
            </w:r>
          </w:p>
        </w:tc>
        <w:tc>
          <w:tcPr>
            <w:tcW w:w="1500"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规格型号</w:t>
            </w:r>
          </w:p>
        </w:tc>
        <w:tc>
          <w:tcPr>
            <w:tcW w:w="689"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1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开卷机</w:t>
            </w: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630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4</w:t>
            </w:r>
          </w:p>
        </w:tc>
        <w:tc>
          <w:tcPr>
            <w:tcW w:w="4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9</w:t>
            </w:r>
          </w:p>
        </w:tc>
        <w:tc>
          <w:tcPr>
            <w:tcW w:w="14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定径成型机</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机架辊压机，60</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c>
          <w:tcPr>
            <w:tcW w:w="1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纵剪机组</w:t>
            </w: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630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3</w:t>
            </w:r>
          </w:p>
        </w:tc>
        <w:tc>
          <w:tcPr>
            <w:tcW w:w="4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4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机架辊压机,76</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17" w:hRule="atLeast"/>
          <w:jc w:val="center"/>
        </w:trPr>
        <w:tc>
          <w:tcPr>
            <w:tcW w:w="4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3</w:t>
            </w:r>
          </w:p>
        </w:tc>
        <w:tc>
          <w:tcPr>
            <w:tcW w:w="16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剪切对焊机</w:t>
            </w: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液压剪切、</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手工焊接,60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c>
          <w:tcPr>
            <w:tcW w:w="4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4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机架辊压机,114</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69" w:hRule="atLeast"/>
          <w:jc w:val="center"/>
        </w:trPr>
        <w:tc>
          <w:tcPr>
            <w:tcW w:w="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液压剪切、</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手工焊接,76</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10</w:t>
            </w: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飞锯机</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锯切方式：</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气动砍切</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97" w:hRule="atLeast"/>
          <w:jc w:val="center"/>
        </w:trPr>
        <w:tc>
          <w:tcPr>
            <w:tcW w:w="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液压剪切、</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手工焊接，500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11</w:t>
            </w:r>
          </w:p>
        </w:tc>
        <w:tc>
          <w:tcPr>
            <w:tcW w:w="14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矫直机</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60</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4</w:t>
            </w:r>
          </w:p>
        </w:tc>
        <w:tc>
          <w:tcPr>
            <w:tcW w:w="16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卧式活套</w:t>
            </w: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60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c>
          <w:tcPr>
            <w:tcW w:w="4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4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76</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76</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4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114</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114</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12</w:t>
            </w:r>
          </w:p>
        </w:tc>
        <w:tc>
          <w:tcPr>
            <w:tcW w:w="14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平头倒棱机</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60</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5</w:t>
            </w:r>
          </w:p>
        </w:tc>
        <w:tc>
          <w:tcPr>
            <w:tcW w:w="16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成型机</w:t>
            </w: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60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c>
          <w:tcPr>
            <w:tcW w:w="4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4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76</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76</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4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114</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114</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13</w:t>
            </w:r>
          </w:p>
        </w:tc>
        <w:tc>
          <w:tcPr>
            <w:tcW w:w="14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打包机</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60</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41" w:hRule="atLeast"/>
          <w:jc w:val="center"/>
        </w:trPr>
        <w:tc>
          <w:tcPr>
            <w:tcW w:w="4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6</w:t>
            </w:r>
          </w:p>
        </w:tc>
        <w:tc>
          <w:tcPr>
            <w:tcW w:w="16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固态高频焊机</w:t>
            </w: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焊接方式：</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感应焊,400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c>
          <w:tcPr>
            <w:tcW w:w="4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4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76</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79" w:hRule="atLeast"/>
          <w:jc w:val="center"/>
        </w:trPr>
        <w:tc>
          <w:tcPr>
            <w:tcW w:w="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焊接方式：感应焊,76</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4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114</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98" w:hRule="atLeast"/>
          <w:jc w:val="center"/>
        </w:trPr>
        <w:tc>
          <w:tcPr>
            <w:tcW w:w="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焊接方式：</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感应焊,700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14</w:t>
            </w: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夹送矫平机</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Ansi="宋体"/>
                <w:spacing w:val="-10"/>
                <w:sz w:val="23"/>
                <w:szCs w:val="23"/>
              </w:rPr>
            </w:pPr>
            <w:r>
              <w:rPr>
                <w:rFonts w:hint="eastAsia" w:hAnsi="宋体"/>
                <w:spacing w:val="-10"/>
                <w:sz w:val="23"/>
                <w:szCs w:val="23"/>
              </w:rPr>
              <w:t>600</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7</w:t>
            </w:r>
          </w:p>
        </w:tc>
        <w:tc>
          <w:tcPr>
            <w:tcW w:w="16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冷水槽</w:t>
            </w: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60</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3</w:t>
            </w:r>
          </w:p>
        </w:tc>
        <w:tc>
          <w:tcPr>
            <w:tcW w:w="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15</w:t>
            </w: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水压机</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22-219</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6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114</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16</w:t>
            </w: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开管机</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8</w:t>
            </w:r>
          </w:p>
        </w:tc>
        <w:tc>
          <w:tcPr>
            <w:tcW w:w="16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包带成型机</w:t>
            </w:r>
          </w:p>
        </w:tc>
        <w:tc>
          <w:tcPr>
            <w:tcW w:w="1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4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14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15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6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r>
    </w:tbl>
    <w:p>
      <w:pPr>
        <w:pStyle w:val="5"/>
      </w:pPr>
      <w:r>
        <w:rPr>
          <w:rFonts w:hint="eastAsia" w:ascii="宋体" w:hAnsi="宋体"/>
          <w:b/>
          <w:sz w:val="24"/>
          <w:szCs w:val="24"/>
        </w:rPr>
        <w:br w:type="page"/>
      </w:r>
      <w:r>
        <w:t xml:space="preserve">2.2.4 </w:t>
      </w:r>
      <w:r>
        <w:rPr>
          <w:rFonts w:hint="eastAsia"/>
        </w:rPr>
        <w:t>主体设施建设内容</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项目主要建构筑物一览表见表</w:t>
      </w:r>
      <w:r>
        <w:rPr>
          <w:rFonts w:ascii="宋体" w:hAnsi="宋体"/>
          <w:sz w:val="24"/>
          <w:szCs w:val="24"/>
        </w:rPr>
        <w:t>2-</w:t>
      </w:r>
      <w:r>
        <w:rPr>
          <w:rFonts w:hint="eastAsia" w:ascii="宋体" w:hAnsi="宋体"/>
          <w:sz w:val="24"/>
          <w:szCs w:val="24"/>
          <w:lang w:val="en-US" w:eastAsia="zh-CN"/>
        </w:rPr>
        <w:t>5</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right="0" w:rightChars="0" w:firstLine="2650" w:firstLineChars="1100"/>
        <w:jc w:val="both"/>
        <w:textAlignment w:val="auto"/>
        <w:outlineLvl w:val="9"/>
        <w:rPr>
          <w:rFonts w:ascii="宋体"/>
          <w:sz w:val="24"/>
          <w:szCs w:val="24"/>
        </w:rPr>
      </w:pPr>
      <w:r>
        <w:rPr>
          <w:rFonts w:hint="eastAsia" w:ascii="宋体" w:hAnsi="宋体"/>
          <w:b/>
          <w:sz w:val="24"/>
          <w:szCs w:val="24"/>
        </w:rPr>
        <w:t>表</w:t>
      </w:r>
      <w:r>
        <w:rPr>
          <w:rFonts w:ascii="宋体" w:hAnsi="宋体"/>
          <w:b/>
          <w:sz w:val="24"/>
          <w:szCs w:val="24"/>
        </w:rPr>
        <w:t>2-</w:t>
      </w:r>
      <w:r>
        <w:rPr>
          <w:rFonts w:hint="eastAsia" w:ascii="宋体" w:hAnsi="宋体"/>
          <w:b/>
          <w:sz w:val="24"/>
          <w:szCs w:val="24"/>
          <w:lang w:val="en-US" w:eastAsia="zh-CN"/>
        </w:rPr>
        <w:t>5</w:t>
      </w:r>
      <w:r>
        <w:rPr>
          <w:rFonts w:ascii="宋体" w:hAnsi="宋体"/>
          <w:b/>
          <w:sz w:val="24"/>
          <w:szCs w:val="24"/>
        </w:rPr>
        <w:t xml:space="preserve">  </w:t>
      </w:r>
      <w:r>
        <w:rPr>
          <w:rFonts w:hint="eastAsia" w:ascii="宋体" w:hAnsi="宋体"/>
          <w:b/>
          <w:sz w:val="24"/>
          <w:szCs w:val="24"/>
        </w:rPr>
        <w:t>主要建构筑物</w:t>
      </w:r>
      <w:r>
        <w:rPr>
          <w:rFonts w:hint="eastAsia" w:ascii="宋体" w:hAnsi="宋体"/>
          <w:b/>
          <w:sz w:val="24"/>
          <w:szCs w:val="24"/>
          <w:lang w:eastAsia="zh-CN"/>
        </w:rPr>
        <w:t>一览</w:t>
      </w:r>
      <w:r>
        <w:rPr>
          <w:rFonts w:hint="eastAsia" w:ascii="宋体" w:hAnsi="宋体"/>
          <w:b/>
          <w:sz w:val="24"/>
          <w:szCs w:val="24"/>
        </w:rPr>
        <w:t>表</w:t>
      </w:r>
    </w:p>
    <w:tbl>
      <w:tblPr>
        <w:tblStyle w:val="35"/>
        <w:tblW w:w="88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33"/>
        <w:gridCol w:w="1308"/>
        <w:gridCol w:w="1544"/>
        <w:gridCol w:w="1292"/>
        <w:gridCol w:w="678"/>
        <w:gridCol w:w="1194"/>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028" w:hRule="atLeast"/>
          <w:jc w:val="center"/>
        </w:trPr>
        <w:tc>
          <w:tcPr>
            <w:tcW w:w="633" w:type="dxa"/>
            <w:tcBorders>
              <w:tl2br w:val="nil"/>
              <w:tr2bl w:val="nil"/>
            </w:tcBorders>
            <w:vAlign w:val="center"/>
          </w:tcPr>
          <w:p>
            <w:pPr>
              <w:spacing w:line="0" w:lineRule="atLeast"/>
              <w:jc w:val="center"/>
              <w:rPr>
                <w:rFonts w:hint="eastAsia" w:hAnsi="宋体"/>
                <w:spacing w:val="-10"/>
                <w:sz w:val="23"/>
                <w:szCs w:val="23"/>
              </w:rPr>
            </w:pPr>
            <w:bookmarkStart w:id="31" w:name="_Toc497001443"/>
            <w:bookmarkStart w:id="32" w:name="_Toc503884740"/>
            <w:bookmarkStart w:id="33" w:name="_Toc496979007"/>
            <w:r>
              <w:rPr>
                <w:rFonts w:hint="eastAsia" w:hAnsi="宋体"/>
                <w:spacing w:val="-10"/>
                <w:sz w:val="23"/>
                <w:szCs w:val="23"/>
              </w:rPr>
              <w:t>序号</w:t>
            </w:r>
          </w:p>
        </w:tc>
        <w:tc>
          <w:tcPr>
            <w:tcW w:w="130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名称</w:t>
            </w:r>
          </w:p>
        </w:tc>
        <w:tc>
          <w:tcPr>
            <w:tcW w:w="154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占地面积(m</w:t>
            </w:r>
            <w:r>
              <w:rPr>
                <w:rFonts w:hint="eastAsia" w:hAnsi="宋体"/>
                <w:spacing w:val="-10"/>
                <w:sz w:val="23"/>
                <w:szCs w:val="23"/>
                <w:vertAlign w:val="superscript"/>
              </w:rPr>
              <w:t>2</w:t>
            </w:r>
            <w:r>
              <w:rPr>
                <w:rFonts w:hint="eastAsia" w:hAnsi="宋体"/>
                <w:spacing w:val="-10"/>
                <w:sz w:val="23"/>
                <w:szCs w:val="23"/>
              </w:rPr>
              <w:t>)</w:t>
            </w:r>
          </w:p>
        </w:tc>
        <w:tc>
          <w:tcPr>
            <w:tcW w:w="1292"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建筑面积(m</w:t>
            </w:r>
            <w:r>
              <w:rPr>
                <w:rFonts w:hint="eastAsia" w:hAnsi="宋体"/>
                <w:spacing w:val="-10"/>
                <w:sz w:val="23"/>
                <w:szCs w:val="23"/>
                <w:vertAlign w:val="superscript"/>
              </w:rPr>
              <w:t>2</w:t>
            </w:r>
            <w:r>
              <w:rPr>
                <w:rFonts w:hint="eastAsia" w:hAnsi="宋体"/>
                <w:spacing w:val="-10"/>
                <w:sz w:val="23"/>
                <w:szCs w:val="23"/>
              </w:rPr>
              <w:t>)</w:t>
            </w:r>
          </w:p>
        </w:tc>
        <w:tc>
          <w:tcPr>
            <w:tcW w:w="67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层数</w:t>
            </w:r>
          </w:p>
        </w:tc>
        <w:tc>
          <w:tcPr>
            <w:tcW w:w="11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结构形式</w:t>
            </w:r>
          </w:p>
        </w:tc>
        <w:tc>
          <w:tcPr>
            <w:tcW w:w="221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150" w:hRule="atLeast"/>
          <w:jc w:val="center"/>
        </w:trPr>
        <w:tc>
          <w:tcPr>
            <w:tcW w:w="6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焊管生产线</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车间</w:t>
            </w:r>
          </w:p>
        </w:tc>
        <w:tc>
          <w:tcPr>
            <w:tcW w:w="1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8370</w:t>
            </w:r>
          </w:p>
        </w:tc>
        <w:tc>
          <w:tcPr>
            <w:tcW w:w="12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8370</w:t>
            </w: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1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钢结构</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布置4条焊管生产线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42" w:hRule="atLeast"/>
          <w:jc w:val="center"/>
        </w:trPr>
        <w:tc>
          <w:tcPr>
            <w:tcW w:w="6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2</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综合车间</w:t>
            </w:r>
          </w:p>
        </w:tc>
        <w:tc>
          <w:tcPr>
            <w:tcW w:w="1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3780</w:t>
            </w:r>
          </w:p>
        </w:tc>
        <w:tc>
          <w:tcPr>
            <w:tcW w:w="12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3780</w:t>
            </w: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1</w:t>
            </w:r>
          </w:p>
        </w:tc>
        <w:tc>
          <w:tcPr>
            <w:tcW w:w="1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钢结构</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布置1套水压试验机组和1条打包带线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20" w:hRule="atLeast"/>
          <w:jc w:val="center"/>
        </w:trPr>
        <w:tc>
          <w:tcPr>
            <w:tcW w:w="6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3</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堆场</w:t>
            </w:r>
          </w:p>
        </w:tc>
        <w:tc>
          <w:tcPr>
            <w:tcW w:w="1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516.73</w:t>
            </w:r>
          </w:p>
        </w:tc>
        <w:tc>
          <w:tcPr>
            <w:tcW w:w="12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1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堆存带钢和焊管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10" w:hRule="atLeast"/>
          <w:jc w:val="center"/>
        </w:trPr>
        <w:tc>
          <w:tcPr>
            <w:tcW w:w="6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4</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带钢清洗</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沉淀池</w:t>
            </w:r>
          </w:p>
        </w:tc>
        <w:tc>
          <w:tcPr>
            <w:tcW w:w="1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长：6米</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宽：3.2米</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深：3.5米</w:t>
            </w:r>
          </w:p>
        </w:tc>
        <w:tc>
          <w:tcPr>
            <w:tcW w:w="12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1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钢混</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清洗带钢</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废水沉淀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47" w:hRule="atLeast"/>
          <w:jc w:val="center"/>
        </w:trPr>
        <w:tc>
          <w:tcPr>
            <w:tcW w:w="6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5</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冷却及水压系统沉淀池</w:t>
            </w:r>
          </w:p>
        </w:tc>
        <w:tc>
          <w:tcPr>
            <w:tcW w:w="1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长：6米</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宽：2米</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深：3米</w:t>
            </w:r>
          </w:p>
        </w:tc>
        <w:tc>
          <w:tcPr>
            <w:tcW w:w="12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1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钢混</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冷却及水压系统</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排水沉淀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38" w:hRule="atLeast"/>
          <w:jc w:val="center"/>
        </w:trPr>
        <w:tc>
          <w:tcPr>
            <w:tcW w:w="6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6</w:t>
            </w:r>
          </w:p>
        </w:tc>
        <w:tc>
          <w:tcPr>
            <w:tcW w:w="13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冷却水循环</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水池</w:t>
            </w:r>
          </w:p>
        </w:tc>
        <w:tc>
          <w:tcPr>
            <w:tcW w:w="15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长：24米</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宽：6米</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深：6米</w:t>
            </w:r>
          </w:p>
        </w:tc>
        <w:tc>
          <w:tcPr>
            <w:tcW w:w="12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w:t>
            </w:r>
          </w:p>
        </w:tc>
        <w:tc>
          <w:tcPr>
            <w:tcW w:w="11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钢混</w:t>
            </w:r>
          </w:p>
        </w:tc>
        <w:tc>
          <w:tcPr>
            <w:tcW w:w="2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0" w:firstLineChars="0"/>
              <w:jc w:val="center"/>
              <w:textAlignment w:val="auto"/>
              <w:outlineLvl w:val="9"/>
              <w:rPr>
                <w:rFonts w:hint="eastAsia" w:hAnsi="宋体"/>
                <w:spacing w:val="-10"/>
                <w:sz w:val="23"/>
                <w:szCs w:val="23"/>
              </w:rPr>
            </w:pPr>
            <w:r>
              <w:rPr>
                <w:rFonts w:hint="eastAsia" w:hAnsi="宋体"/>
                <w:spacing w:val="-10"/>
                <w:sz w:val="23"/>
                <w:szCs w:val="23"/>
              </w:rPr>
              <w:t>冷却水储存</w:t>
            </w:r>
          </w:p>
        </w:tc>
      </w:tr>
      <w:bookmarkEnd w:id="31"/>
      <w:bookmarkEnd w:id="32"/>
      <w:bookmarkEnd w:id="33"/>
    </w:tbl>
    <w:p>
      <w:pPr>
        <w:pStyle w:val="4"/>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rPr>
          <w:szCs w:val="22"/>
        </w:rPr>
      </w:pPr>
      <w:bookmarkStart w:id="34" w:name="_Toc503884741"/>
      <w:r>
        <w:rPr>
          <w:szCs w:val="22"/>
        </w:rPr>
        <w:t xml:space="preserve">2.3 </w:t>
      </w:r>
      <w:r>
        <w:rPr>
          <w:rFonts w:hint="eastAsia"/>
          <w:szCs w:val="22"/>
        </w:rPr>
        <w:t>工艺流程</w:t>
      </w:r>
      <w:bookmarkEnd w:id="34"/>
    </w:p>
    <w:p>
      <w:pPr>
        <w:widowControl/>
        <w:spacing w:line="360" w:lineRule="auto"/>
        <w:ind w:firstLine="480" w:firstLineChars="200"/>
        <w:jc w:val="left"/>
        <w:rPr>
          <w:rFonts w:ascii="宋体"/>
          <w:sz w:val="24"/>
          <w:szCs w:val="24"/>
        </w:rPr>
      </w:pPr>
      <w:r>
        <w:rPr>
          <w:rFonts w:hint="eastAsia" w:ascii="宋体"/>
          <w:sz w:val="24"/>
          <w:szCs w:val="24"/>
        </w:rPr>
        <w:t>本项目共包括4条焊管机组生产线，各生产线仅产品型号不同，生产工艺基本相同。生产工艺过程包括开卷、矫平、纵剪、对焊、成型焊接、精整、检验、打包等工序</w:t>
      </w:r>
      <w:r>
        <w:rPr>
          <w:rFonts w:hint="eastAsia" w:ascii="宋体"/>
          <w:sz w:val="24"/>
          <w:szCs w:val="24"/>
          <w:lang w:eastAsia="zh-CN"/>
        </w:rPr>
        <w:t>，</w:t>
      </w:r>
      <w:r>
        <w:rPr>
          <w:rFonts w:hint="eastAsia" w:ascii="宋体" w:hAnsi="宋体"/>
          <w:sz w:val="24"/>
          <w:szCs w:val="24"/>
        </w:rPr>
        <w:t>工艺流程见图</w:t>
      </w:r>
      <w:r>
        <w:rPr>
          <w:rFonts w:hint="eastAsia" w:ascii="宋体" w:hAnsi="宋体"/>
          <w:sz w:val="24"/>
          <w:szCs w:val="24"/>
          <w:lang w:val="en-US" w:eastAsia="zh-CN"/>
        </w:rPr>
        <w:t>2.1、图2.2</w:t>
      </w:r>
      <w:r>
        <w:rPr>
          <w:rFonts w:hint="eastAsia" w:ascii="宋体" w:hAnsi="宋体"/>
          <w:sz w:val="24"/>
          <w:szCs w:val="24"/>
        </w:rPr>
        <w:t>。</w:t>
      </w:r>
    </w:p>
    <w:p>
      <w:pPr>
        <w:widowControl/>
        <w:jc w:val="center"/>
        <w:rPr>
          <w:rFonts w:ascii="宋体" w:cs="宋体"/>
          <w:kern w:val="0"/>
          <w:sz w:val="24"/>
          <w:szCs w:val="24"/>
        </w:rPr>
      </w:pPr>
    </w:p>
    <w:p>
      <w:pPr>
        <w:pStyle w:val="2"/>
        <w:jc w:val="center"/>
      </w:pPr>
      <w:r>
        <w:rPr>
          <w:sz w:val="21"/>
        </w:rPr>
        <w:pict>
          <v:shape id="_x0000_s1186" o:spid="_x0000_s1186" o:spt="202" type="#_x0000_t202" style="position:absolute;left:0pt;margin-left:314.1pt;margin-top:118pt;height:46.85pt;width:57pt;z-index:2031395840;mso-width-relative:page;mso-height-relative:page;" fillcolor="#FFFFFF" filled="t" stroked="f" coordsize="21600,21600">
            <v:path/>
            <v:fill on="t" color2="#FFFFFF" focussize="0,0"/>
            <v:stroke on="f"/>
            <v:imagedata o:title=""/>
            <o:lock v:ext="edit" aspectratio="f"/>
            <v:textbox>
              <w:txbxContent>
                <w:p/>
              </w:txbxContent>
            </v:textbox>
          </v:shape>
        </w:pict>
      </w:r>
      <w:r>
        <w:pict>
          <v:shape id="_x0000_i1025" o:spt="75" type="#_x0000_t75" style="height:274pt;width:414.55pt;" filled="f" stroked="f" coordsize="21600,21600">
            <v:path/>
            <v:fill on="f" focussize="0,0"/>
            <v:stroke on="f"/>
            <v:imagedata r:id="rId5" o:title=""/>
            <o:lock v:ext="edit" aspectratio="t"/>
            <w10:wrap type="none"/>
            <w10:anchorlock/>
          </v:shape>
        </w:pict>
      </w:r>
    </w:p>
    <w:p>
      <w:pPr>
        <w:spacing w:line="440" w:lineRule="atLeast"/>
        <w:ind w:firstLine="480" w:firstLineChars="200"/>
        <w:rPr>
          <w:rFonts w:hint="eastAsia" w:ascii="宋体" w:hAnsi="宋体"/>
          <w:sz w:val="24"/>
          <w:szCs w:val="24"/>
        </w:rPr>
      </w:pPr>
      <w:r>
        <w:rPr>
          <w:rFonts w:hint="eastAsia" w:ascii="宋体" w:hAnsi="宋体"/>
          <w:sz w:val="24"/>
          <w:szCs w:val="24"/>
        </w:rPr>
        <w:t>各工序工艺流程简述如下：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(1)开卷、矫平、纵剪、对焊</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原料带钢由汽车运输进厂，暂存于带钢堆场内。生产时用天车将钢卷吊至上料小车上，上料小车经轨道进入车间指定工位。由车间内天车将上料小车内钢卷吊至备卷位置，然后由天车将钢卷吊至开卷机处，将带钢卷中心对准开卷机锥头中心，开卷机两锥头在锥头移动油缸驱动下同时向内运行，夹紧钢卷。夹持住钢卷的开卷机锥头在液压系统的作用下，同时左右移动，完成带钢卷的对中。然后，平头机压辊落下，压紧钢卷，开卷机锥头旋转，同时平头机铲头抬起，铲头伸出贴紧钢卷，当带钢头旋转至铲头处，将带钢头铲起。锥头往复微动旋转，配合平头液压缸，将带钢头压平。锥头继续旋转，将钢带送入矫平机。钢带头送入矫平机后，矫平机夹送辊压下，夹住带头，旋转夹送辊，将钢带卷入矫平机，在矫平辊的作用下，将带钢矫平。宽带钢需按照焊管尺寸要求进行纵剪，夹送辊继续旋转，将带钢卷入纵剪机，纵剪机由垂向分布的两个纵剪辊构成，上下两个纵剪辊上等间距分布纵剪刀刃，矫平后的带钢通过纵剪机后被裁剪成指定尺寸等宽的窄带钢并打卷。打卷后的带钢经天车送至成型焊接工位备料位置，然后用天车将矫平后的钢卷吊至上料机处，固定于上料机锥头上，锥头旋转将带钢送入成型工序。前后两条带钢头尾采用剪焊机进行剪切和焊接处理，剪焊机的液压剪分别将两条带钢的头尾对正剪齐，然后经传送辊送至焊接平台，通过气体保护焊采用钛钙焊条将两条带钢的头尾对焊连接。对焊后的带钢运至笼式活套储料，供给生产线连续生产所需原料。</w:t>
      </w:r>
    </w:p>
    <w:p>
      <w:pPr>
        <w:pStyle w:val="16"/>
        <w:keepNext w:val="0"/>
        <w:keepLines w:val="0"/>
        <w:pageBreakBefore w:val="0"/>
        <w:widowControl w:val="0"/>
        <w:kinsoku/>
        <w:wordWrap/>
        <w:overflowPunct/>
        <w:topLinePunct w:val="0"/>
        <w:autoSpaceDE/>
        <w:autoSpaceDN/>
        <w:bidi w:val="0"/>
        <w:adjustRightInd/>
        <w:snapToGrid/>
        <w:spacing w:line="360" w:lineRule="auto"/>
        <w:ind w:left="-30" w:right="0" w:rightChars="0" w:firstLine="480" w:firstLineChars="200"/>
        <w:jc w:val="both"/>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(2)成型焊接</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经处理后的原料带钢通过入口导向对中平台进入成型机，原料带钢在进入成型机前需预先对带钢表面残存的氧化铁皮进行冲洗，主要将夹送辊压过程中脱落的氧化铁皮冲洗干净，起到降尘同时防止带钢表面氧化铁皮影响成型辊表面平整度的作用。冲洗后带钢通过多机架辊压机辊压，使原料带钢变成焊管初步形态(C型)，同时使焊管C型的两个边均匀、平整，弯曲成相应规格的管坯，并平稳的运输至固态高频焊机。管坯经固态高频焊机利用电磁感应原理和交流电荷在导体中的集肤效应、邻近效应和涡流热效应，电流频率范围在200～300HZ,使成型后的管坯缺口边缘瞬间被加热到1300℃的熔融温度,经滚轮的挤压，使对接焊缝实现晶间结合，从而达到焊缝焊接的目的，形成闭口管坯。挤压辊后配置刮焊装置和磨光辊架，焊后的管坯经此处将焊缝外毛刺刨削去除，之后经磨光辊滚光焊缝。固态高频焊机无焊接烟气产生，由于焊接时产生很高的热量，将焊管运至冷水槽进行冷却处理。辊压机成型辊冷却水和焊管冷却水蒸发损失，需定期补充，冷却水经冷却塔降温后循环使用。</w:t>
      </w:r>
    </w:p>
    <w:p>
      <w:pPr>
        <w:spacing w:line="293" w:lineRule="auto"/>
        <w:ind w:firstLine="425"/>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(3)精整段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经水冷后的焊管进入定径机，主要对成型焊管截面的圆度进行校正，使其成为截面圆度合格的圆管，而后输送入矫直机调整焊管的弯曲度，定径辊和矫直辊用水直接冷却，冷却水蒸发损失，需定期补充，冷却水经冷却塔降温后循环使用。矫直后焊管进入飞锯机，通过气动砍切将焊管切成要求的长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(4)分拣、倒棱、水压试验、打包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Times New Roman"/>
          <w:kern w:val="2"/>
          <w:sz w:val="24"/>
          <w:szCs w:val="24"/>
          <w:lang w:val="en-US" w:eastAsia="zh-CN" w:bidi="ar-SA"/>
        </w:rPr>
      </w:pPr>
      <w:r>
        <w:rPr>
          <w:rFonts w:hint="eastAsia" w:ascii="宋体" w:hAnsi="宋体"/>
          <w:sz w:val="24"/>
          <w:szCs w:val="24"/>
        </w:rPr>
        <w:t>成型的焊管经输送辊道运至分拣平台上，按照设定的自动控制程序，分拣出含带钢头、尾及有带钢头尾焊缝的焊管，作为二级品。分拣出的二级品运至综合车间，经飞锯机、开管机、矫平机、纵剪机及包带成型机处理后制作成打包带，供合格焊管打包使用。合格焊管经输送辊道运至平头倒棱机，对焊管两端内壁进行平整打磨。根据客户的要求，需对部分特殊用途的焊管进行水压试验，首先通过端部密封装置对受试直缝钢管两端进行密封并注入低压水，在注水过程中通过排气阀排出管内空气，在低压水充满后，通过增压装置向管内注入高压水进行增压直至达到规定试验压力。在达到规定试验压力后按规定时间保压，若直缝钢管在试压中无泄漏、变形等现象，则进行卸压。试压不合格焊管亦用于制作打包带使用。然后打开端部密封装置，排出低压水，试压水返回沉淀池，经冷却后循环使用。而后运至台架上，采用自动打包机将成品打包。</w:t>
      </w:r>
    </w:p>
    <w:p>
      <w:pPr>
        <w:pStyle w:val="4"/>
        <w:rPr>
          <w:szCs w:val="22"/>
        </w:rPr>
      </w:pPr>
      <w:bookmarkStart w:id="35" w:name="_Toc503884742"/>
      <w:r>
        <w:rPr>
          <w:szCs w:val="22"/>
        </w:rPr>
        <w:t xml:space="preserve">2.4 </w:t>
      </w:r>
      <w:r>
        <w:rPr>
          <w:rFonts w:hint="eastAsia"/>
          <w:szCs w:val="22"/>
        </w:rPr>
        <w:t>劳动定员及工作制度</w:t>
      </w:r>
      <w:bookmarkEnd w:id="35"/>
    </w:p>
    <w:p>
      <w:pPr>
        <w:spacing w:line="440" w:lineRule="atLeast"/>
        <w:ind w:firstLine="480" w:firstLineChars="200"/>
        <w:rPr>
          <w:rFonts w:ascii="宋体"/>
          <w:sz w:val="24"/>
          <w:szCs w:val="24"/>
        </w:rPr>
      </w:pPr>
      <w:r>
        <w:rPr>
          <w:rFonts w:hint="eastAsia" w:ascii="宋体" w:hAnsi="宋体"/>
          <w:sz w:val="24"/>
          <w:szCs w:val="24"/>
        </w:rPr>
        <w:t>本项目劳动定员为180人，年有效工作时间7920小时，实行三班工作制，每班8小时。</w:t>
      </w:r>
    </w:p>
    <w:p>
      <w:pPr>
        <w:pStyle w:val="4"/>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1"/>
      </w:pPr>
      <w:bookmarkStart w:id="36" w:name="_Toc503884743"/>
      <w:r>
        <w:t xml:space="preserve">2.5 </w:t>
      </w:r>
      <w:r>
        <w:rPr>
          <w:rFonts w:hint="eastAsia"/>
        </w:rPr>
        <w:t>公用工程</w:t>
      </w:r>
      <w:bookmarkEnd w:id="36"/>
    </w:p>
    <w:p>
      <w:pPr>
        <w:pStyle w:val="5"/>
      </w:pPr>
      <w:bookmarkStart w:id="37" w:name="_Toc497001447"/>
      <w:bookmarkStart w:id="38" w:name="_Toc503884744"/>
      <w:bookmarkStart w:id="39" w:name="_Toc496979011"/>
      <w:r>
        <w:t xml:space="preserve">2.5.1 </w:t>
      </w:r>
      <w:r>
        <w:rPr>
          <w:rFonts w:hint="eastAsia"/>
        </w:rPr>
        <w:t>给排水</w:t>
      </w:r>
      <w:bookmarkEnd w:id="37"/>
      <w:bookmarkEnd w:id="38"/>
      <w:bookmarkEnd w:id="3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r>
        <w:rPr>
          <w:rFonts w:hint="eastAsia"/>
          <w:sz w:val="24"/>
          <w:szCs w:val="24"/>
        </w:rPr>
        <w:t>本项目生产用水由</w:t>
      </w:r>
      <w:r>
        <w:rPr>
          <w:rFonts w:hint="eastAsia" w:ascii="宋体" w:hAnsi="宋体"/>
          <w:color w:val="000000"/>
          <w:sz w:val="24"/>
          <w:szCs w:val="24"/>
        </w:rPr>
        <w:t>唐山正元管业有限公司</w:t>
      </w:r>
      <w:r>
        <w:rPr>
          <w:rFonts w:hint="eastAsia"/>
          <w:sz w:val="24"/>
          <w:szCs w:val="24"/>
        </w:rPr>
        <w:t>厂内自备水井供应，已取得取水许可证(取水(丰南)字[2016]第05051330号)。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sz w:val="24"/>
          <w:szCs w:val="24"/>
        </w:rPr>
        <w:t>项目新水用</w:t>
      </w:r>
      <w:r>
        <w:rPr>
          <w:rFonts w:hint="eastAsia"/>
          <w:sz w:val="24"/>
          <w:szCs w:val="24"/>
          <w:lang w:eastAsia="zh-CN"/>
        </w:rPr>
        <w:t>水</w:t>
      </w:r>
      <w:r>
        <w:rPr>
          <w:rFonts w:hint="eastAsia"/>
          <w:sz w:val="24"/>
          <w:szCs w:val="24"/>
        </w:rPr>
        <w:t>主要为冷却及水压系统补水、带钢冲洗系统补水、食堂用水、生活用水。其中冷却及水压系统补水包括焊管冷却系统补水，成型辊、定径辊和矫直辊冷却系统补水和水压试验系统补水。项目循环用水为带钢冲洗系统循环用水</w:t>
      </w:r>
      <w:r>
        <w:rPr>
          <w:rFonts w:hint="eastAsia"/>
          <w:sz w:val="24"/>
          <w:szCs w:val="24"/>
          <w:lang w:eastAsia="zh-CN"/>
        </w:rPr>
        <w:t>及</w:t>
      </w:r>
      <w:r>
        <w:rPr>
          <w:rFonts w:hint="eastAsia"/>
          <w:sz w:val="24"/>
          <w:szCs w:val="24"/>
        </w:rPr>
        <w:t>冷却及水压系统循环用水</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pPr>
      <w:r>
        <w:rPr>
          <w:rFonts w:hint="eastAsia"/>
          <w:sz w:val="24"/>
          <w:szCs w:val="24"/>
        </w:rPr>
        <w:t>本项目生产废水经处理后全部循环使用，不外排；食堂废水经</w:t>
      </w:r>
      <w:bookmarkStart w:id="40" w:name="OLE_LINK1"/>
      <w:r>
        <w:rPr>
          <w:rFonts w:hint="eastAsia"/>
          <w:sz w:val="24"/>
          <w:szCs w:val="24"/>
        </w:rPr>
        <w:t>厂区现有</w:t>
      </w:r>
      <w:bookmarkEnd w:id="40"/>
      <w:r>
        <w:rPr>
          <w:rFonts w:hint="eastAsia"/>
          <w:sz w:val="24"/>
          <w:szCs w:val="24"/>
        </w:rPr>
        <w:t>隔油池处理后和生活污水一起进入厂区现有化粪池处理，后经开发区污水管网排入丰南区城南污水处理厂处理。</w:t>
      </w:r>
      <w:bookmarkStart w:id="41" w:name="_Toc503884745"/>
      <w:bookmarkStart w:id="42" w:name="_Toc496979012"/>
      <w:bookmarkStart w:id="43" w:name="_Toc497001448"/>
    </w:p>
    <w:p>
      <w:pPr>
        <w:pStyle w:val="5"/>
        <w:spacing w:line="440" w:lineRule="atLeast"/>
      </w:pPr>
      <w:r>
        <w:t xml:space="preserve">2.5.2 </w:t>
      </w:r>
      <w:r>
        <w:rPr>
          <w:rFonts w:hint="eastAsia"/>
        </w:rPr>
        <w:t>供电</w:t>
      </w:r>
      <w:bookmarkEnd w:id="41"/>
      <w:bookmarkEnd w:id="42"/>
      <w:bookmarkEnd w:id="43"/>
    </w:p>
    <w:p>
      <w:pPr>
        <w:spacing w:line="440" w:lineRule="atLeast"/>
        <w:ind w:firstLine="480" w:firstLineChars="200"/>
        <w:rPr>
          <w:rFonts w:ascii="宋体"/>
          <w:sz w:val="24"/>
          <w:szCs w:val="24"/>
        </w:rPr>
      </w:pPr>
      <w:r>
        <w:rPr>
          <w:rFonts w:hint="eastAsia" w:ascii="宋体" w:hAnsi="宋体"/>
          <w:sz w:val="24"/>
          <w:szCs w:val="24"/>
        </w:rPr>
        <w:t>本项目电源</w:t>
      </w:r>
      <w:r>
        <w:rPr>
          <w:rFonts w:hint="eastAsia" w:ascii="宋体" w:hAnsi="宋体"/>
          <w:sz w:val="24"/>
          <w:szCs w:val="24"/>
          <w:lang w:eastAsia="zh-CN"/>
        </w:rPr>
        <w:t>由当地供电电网提供，</w:t>
      </w:r>
      <w:r>
        <w:rPr>
          <w:rFonts w:hint="eastAsia" w:ascii="宋体" w:hAnsi="宋体"/>
          <w:sz w:val="24"/>
          <w:szCs w:val="24"/>
        </w:rPr>
        <w:t>引自项目北侧现有一座10kV高压配电室。</w:t>
      </w:r>
    </w:p>
    <w:p>
      <w:pPr>
        <w:pStyle w:val="5"/>
        <w:spacing w:line="440" w:lineRule="atLeast"/>
      </w:pPr>
      <w:bookmarkStart w:id="44" w:name="_Toc496979013"/>
      <w:bookmarkStart w:id="45" w:name="_Toc497001449"/>
      <w:bookmarkStart w:id="46" w:name="_Toc503884746"/>
      <w:r>
        <w:t xml:space="preserve">2.5.3 </w:t>
      </w:r>
      <w:r>
        <w:rPr>
          <w:rFonts w:hint="eastAsia"/>
        </w:rPr>
        <w:t>供热</w:t>
      </w:r>
      <w:bookmarkEnd w:id="44"/>
      <w:bookmarkEnd w:id="45"/>
      <w:bookmarkEnd w:id="46"/>
    </w:p>
    <w:p>
      <w:pPr>
        <w:spacing w:line="440" w:lineRule="atLeast"/>
        <w:ind w:firstLine="480" w:firstLineChars="200"/>
        <w:rPr>
          <w:rFonts w:ascii="宋体"/>
          <w:sz w:val="24"/>
          <w:szCs w:val="24"/>
        </w:rPr>
      </w:pPr>
      <w:r>
        <w:rPr>
          <w:rFonts w:hint="eastAsia" w:ascii="宋体"/>
          <w:sz w:val="24"/>
          <w:szCs w:val="24"/>
        </w:rPr>
        <w:t>本项目车间不设采暖设施，办公生活设施依托正元公司现有办公楼和宿舍楼，冬季采暖采用开发区集中供热。</w:t>
      </w:r>
    </w:p>
    <w:p>
      <w:pPr>
        <w:pStyle w:val="4"/>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1"/>
      </w:pPr>
      <w:bookmarkStart w:id="47" w:name="_Toc503884747"/>
      <w:r>
        <w:t xml:space="preserve">2.6 </w:t>
      </w:r>
      <w:r>
        <w:rPr>
          <w:rFonts w:hint="eastAsia"/>
        </w:rPr>
        <w:t>环评审批情况</w:t>
      </w:r>
      <w:bookmarkEnd w:id="47"/>
    </w:p>
    <w:p>
      <w:pPr>
        <w:spacing w:line="440" w:lineRule="atLeast"/>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highlight w:val="none"/>
          <w:lang w:eastAsia="zh-CN"/>
        </w:rPr>
        <w:t>河北省众联能源环保科技有限公司于</w:t>
      </w:r>
      <w:r>
        <w:rPr>
          <w:rFonts w:hint="eastAsia" w:ascii="Times New Roman" w:hAnsi="Times New Roman" w:cs="Times New Roman"/>
          <w:sz w:val="24"/>
          <w:szCs w:val="24"/>
          <w:highlight w:val="none"/>
          <w:lang w:val="en-US" w:eastAsia="zh-CN"/>
        </w:rPr>
        <w:t>2017年8月</w:t>
      </w:r>
      <w:r>
        <w:rPr>
          <w:rFonts w:hint="default" w:ascii="Times New Roman" w:hAnsi="Times New Roman" w:cs="Times New Roman"/>
          <w:sz w:val="24"/>
          <w:szCs w:val="24"/>
          <w:highlight w:val="none"/>
        </w:rPr>
        <w:t>编制</w:t>
      </w:r>
      <w:r>
        <w:rPr>
          <w:rFonts w:hint="eastAsia" w:ascii="Times New Roman" w:hAnsi="Times New Roman" w:cs="Times New Roman"/>
          <w:sz w:val="24"/>
          <w:szCs w:val="24"/>
          <w:highlight w:val="none"/>
          <w:lang w:eastAsia="zh-CN"/>
        </w:rPr>
        <w:t>完成了</w:t>
      </w:r>
      <w:r>
        <w:rPr>
          <w:rFonts w:hint="default" w:ascii="Times New Roman" w:hAnsi="Times New Roman" w:cs="Times New Roman"/>
          <w:color w:val="000000"/>
          <w:sz w:val="24"/>
          <w:szCs w:val="24"/>
        </w:rPr>
        <w:t>《唐山正元管业有限公司建设焊管生产线项目环境影响报告表》，</w:t>
      </w:r>
      <w:r>
        <w:rPr>
          <w:rFonts w:hint="eastAsia" w:ascii="Times New Roman" w:hAnsi="Times New Roman" w:cs="Times New Roman"/>
          <w:sz w:val="24"/>
          <w:szCs w:val="24"/>
          <w:lang w:eastAsia="zh-CN"/>
        </w:rPr>
        <w:t>并</w:t>
      </w:r>
      <w:r>
        <w:rPr>
          <w:rFonts w:hint="default" w:ascii="Times New Roman" w:hAnsi="Times New Roman" w:cs="Times New Roman"/>
          <w:sz w:val="24"/>
          <w:szCs w:val="24"/>
        </w:rPr>
        <w:t>于201</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rPr>
        <w:t>日</w:t>
      </w:r>
      <w:r>
        <w:rPr>
          <w:rFonts w:hint="eastAsia" w:ascii="Times New Roman" w:hAnsi="Times New Roman" w:cs="Times New Roman"/>
          <w:sz w:val="24"/>
          <w:szCs w:val="24"/>
          <w:lang w:eastAsia="zh-CN"/>
        </w:rPr>
        <w:t>取得了唐山市丰南区</w:t>
      </w:r>
      <w:r>
        <w:rPr>
          <w:rFonts w:hint="default" w:ascii="Times New Roman" w:hAnsi="Times New Roman" w:cs="Times New Roman"/>
          <w:sz w:val="24"/>
          <w:szCs w:val="24"/>
        </w:rPr>
        <w:t>环境保护局</w:t>
      </w:r>
      <w:r>
        <w:rPr>
          <w:rFonts w:hint="eastAsia" w:ascii="Times New Roman" w:hAnsi="Times New Roman" w:cs="Times New Roman"/>
          <w:sz w:val="24"/>
          <w:szCs w:val="24"/>
          <w:lang w:eastAsia="zh-CN"/>
        </w:rPr>
        <w:t>的</w:t>
      </w:r>
      <w:r>
        <w:rPr>
          <w:rFonts w:hint="default" w:ascii="Times New Roman" w:hAnsi="Times New Roman" w:cs="Times New Roman"/>
          <w:sz w:val="24"/>
          <w:szCs w:val="24"/>
        </w:rPr>
        <w:t>审批</w:t>
      </w:r>
      <w:r>
        <w:rPr>
          <w:rFonts w:hint="eastAsia" w:ascii="Times New Roman" w:hAnsi="Times New Roman" w:cs="Times New Roman"/>
          <w:sz w:val="24"/>
          <w:szCs w:val="24"/>
          <w:lang w:eastAsia="zh-CN"/>
        </w:rPr>
        <w:t>意见，丰环表</w:t>
      </w:r>
      <w:r>
        <w:rPr>
          <w:rFonts w:hint="eastAsia" w:ascii="Times New Roman" w:hAnsi="Times New Roman" w:cs="Times New Roman"/>
          <w:sz w:val="24"/>
          <w:szCs w:val="24"/>
          <w:lang w:val="en-US" w:eastAsia="zh-CN"/>
        </w:rPr>
        <w:t>[2017]103号</w:t>
      </w:r>
      <w:r>
        <w:rPr>
          <w:rFonts w:hint="default" w:ascii="Times New Roman" w:hAnsi="Times New Roman" w:cs="Times New Roman"/>
          <w:sz w:val="24"/>
          <w:szCs w:val="24"/>
        </w:rPr>
        <w:t>。</w:t>
      </w:r>
    </w:p>
    <w:p>
      <w:pPr>
        <w:pStyle w:val="4"/>
      </w:pPr>
      <w:bookmarkStart w:id="48" w:name="_Toc503884748"/>
      <w:r>
        <w:br w:type="page"/>
      </w:r>
      <w:r>
        <w:t xml:space="preserve">2.7 </w:t>
      </w:r>
      <w:r>
        <w:rPr>
          <w:rFonts w:hint="eastAsia"/>
        </w:rPr>
        <w:t>项目投资</w:t>
      </w:r>
      <w:bookmarkEnd w:id="48"/>
    </w:p>
    <w:p>
      <w:pPr>
        <w:spacing w:line="480" w:lineRule="atLeast"/>
        <w:ind w:firstLine="480" w:firstLineChars="200"/>
        <w:rPr>
          <w:rFonts w:ascii="宋体"/>
          <w:color w:val="000000"/>
          <w:sz w:val="24"/>
          <w:szCs w:val="24"/>
        </w:rPr>
      </w:pPr>
      <w:r>
        <w:rPr>
          <w:rFonts w:hint="eastAsia" w:ascii="宋体" w:hAnsi="宋体"/>
          <w:color w:val="000000"/>
          <w:sz w:val="24"/>
          <w:szCs w:val="24"/>
        </w:rPr>
        <w:t>本项目总投资为</w:t>
      </w:r>
      <w:r>
        <w:rPr>
          <w:rFonts w:hint="eastAsia" w:ascii="宋体" w:hAnsi="宋体"/>
          <w:color w:val="000000"/>
          <w:sz w:val="24"/>
          <w:szCs w:val="24"/>
          <w:lang w:val="en-US" w:eastAsia="zh-CN"/>
        </w:rPr>
        <w:t>5000.18</w:t>
      </w:r>
      <w:r>
        <w:rPr>
          <w:rFonts w:hint="eastAsia" w:ascii="宋体" w:hAnsi="宋体"/>
          <w:color w:val="000000"/>
          <w:sz w:val="24"/>
          <w:szCs w:val="24"/>
        </w:rPr>
        <w:t>万元，其中环境保护总投资</w:t>
      </w:r>
      <w:r>
        <w:rPr>
          <w:rFonts w:hint="eastAsia" w:ascii="宋体" w:hAnsi="宋体"/>
          <w:color w:val="000000"/>
          <w:sz w:val="24"/>
          <w:szCs w:val="24"/>
          <w:lang w:val="en-US" w:eastAsia="zh-CN"/>
        </w:rPr>
        <w:t>32.2</w:t>
      </w:r>
      <w:r>
        <w:rPr>
          <w:rFonts w:hint="eastAsia" w:ascii="宋体" w:hAnsi="宋体"/>
          <w:color w:val="000000"/>
          <w:sz w:val="24"/>
          <w:szCs w:val="24"/>
        </w:rPr>
        <w:t>万元，占总投资的</w:t>
      </w:r>
      <w:r>
        <w:rPr>
          <w:rFonts w:hint="eastAsia" w:ascii="宋体" w:hAnsi="宋体"/>
          <w:color w:val="000000"/>
          <w:sz w:val="24"/>
          <w:szCs w:val="24"/>
          <w:lang w:val="en-US" w:eastAsia="zh-CN"/>
        </w:rPr>
        <w:t>0.6</w:t>
      </w:r>
      <w:r>
        <w:rPr>
          <w:rFonts w:ascii="宋体" w:hAnsi="宋体"/>
          <w:color w:val="000000"/>
          <w:sz w:val="24"/>
          <w:szCs w:val="24"/>
        </w:rPr>
        <w:t>%</w:t>
      </w:r>
      <w:r>
        <w:rPr>
          <w:rFonts w:hint="eastAsia" w:ascii="宋体" w:hAnsi="宋体"/>
          <w:color w:val="000000"/>
          <w:sz w:val="24"/>
          <w:szCs w:val="24"/>
        </w:rPr>
        <w:t>。实际环境保护投资见下表</w:t>
      </w:r>
      <w:r>
        <w:rPr>
          <w:rFonts w:ascii="宋体" w:hAnsi="宋体"/>
          <w:color w:val="000000"/>
          <w:sz w:val="24"/>
          <w:szCs w:val="24"/>
        </w:rPr>
        <w:t>2-4</w:t>
      </w:r>
      <w:r>
        <w:rPr>
          <w:rFonts w:hint="eastAsia" w:ascii="宋体" w:hAnsi="宋体"/>
          <w:color w:val="000000"/>
          <w:sz w:val="24"/>
          <w:szCs w:val="24"/>
        </w:rPr>
        <w:t>所示：</w:t>
      </w:r>
    </w:p>
    <w:p>
      <w:pPr>
        <w:spacing w:line="480" w:lineRule="atLeast"/>
        <w:ind w:firstLine="482" w:firstLineChars="200"/>
        <w:jc w:val="center"/>
        <w:rPr>
          <w:rFonts w:ascii="宋体"/>
          <w:b/>
          <w:color w:val="000000"/>
          <w:sz w:val="24"/>
          <w:szCs w:val="24"/>
        </w:rPr>
      </w:pPr>
      <w:r>
        <w:rPr>
          <w:rFonts w:hint="eastAsia" w:ascii="宋体" w:hAnsi="宋体"/>
          <w:b/>
          <w:color w:val="000000"/>
          <w:sz w:val="24"/>
          <w:szCs w:val="24"/>
        </w:rPr>
        <w:t>表</w:t>
      </w:r>
      <w:r>
        <w:rPr>
          <w:rFonts w:ascii="宋体" w:hAnsi="宋体"/>
          <w:b/>
          <w:color w:val="000000"/>
          <w:sz w:val="24"/>
          <w:szCs w:val="24"/>
        </w:rPr>
        <w:t xml:space="preserve">2-4 </w:t>
      </w:r>
      <w:r>
        <w:rPr>
          <w:rFonts w:hint="eastAsia" w:ascii="宋体" w:hAnsi="宋体"/>
          <w:b/>
          <w:color w:val="000000"/>
          <w:sz w:val="24"/>
          <w:szCs w:val="24"/>
        </w:rPr>
        <w:t>实际环保投资情况说明</w:t>
      </w:r>
    </w:p>
    <w:tbl>
      <w:tblPr>
        <w:tblStyle w:val="35"/>
        <w:tblW w:w="9169" w:type="dxa"/>
        <w:tblInd w:w="-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5"/>
        <w:gridCol w:w="5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3" w:hRule="atLeast"/>
        </w:trPr>
        <w:tc>
          <w:tcPr>
            <w:tcW w:w="3225" w:type="dxa"/>
            <w:vAlign w:val="center"/>
          </w:tcPr>
          <w:p>
            <w:pPr>
              <w:spacing w:line="300" w:lineRule="atLeast"/>
              <w:jc w:val="center"/>
              <w:rPr>
                <w:rFonts w:ascii="宋体"/>
                <w:b/>
                <w:color w:val="000000"/>
                <w:szCs w:val="21"/>
              </w:rPr>
            </w:pPr>
            <w:r>
              <w:rPr>
                <w:rFonts w:hint="eastAsia" w:ascii="宋体" w:hAnsi="宋体"/>
                <w:b/>
                <w:color w:val="000000"/>
                <w:szCs w:val="21"/>
              </w:rPr>
              <w:t>环保设施</w:t>
            </w:r>
          </w:p>
        </w:tc>
        <w:tc>
          <w:tcPr>
            <w:tcW w:w="5944" w:type="dxa"/>
            <w:vAlign w:val="center"/>
          </w:tcPr>
          <w:p>
            <w:pPr>
              <w:spacing w:line="300" w:lineRule="atLeast"/>
              <w:jc w:val="center"/>
              <w:rPr>
                <w:rFonts w:ascii="宋体"/>
                <w:b/>
                <w:color w:val="000000"/>
                <w:szCs w:val="21"/>
              </w:rPr>
            </w:pPr>
            <w:r>
              <w:rPr>
                <w:rFonts w:hint="eastAsia" w:ascii="宋体" w:hAnsi="宋体"/>
                <w:b/>
                <w:color w:val="000000"/>
                <w:szCs w:val="21"/>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5" w:type="dxa"/>
            <w:vAlign w:val="center"/>
          </w:tcPr>
          <w:p>
            <w:pPr>
              <w:spacing w:line="300" w:lineRule="atLeast"/>
              <w:jc w:val="center"/>
              <w:rPr>
                <w:rFonts w:ascii="宋体"/>
                <w:color w:val="000000"/>
                <w:szCs w:val="21"/>
              </w:rPr>
            </w:pPr>
            <w:r>
              <w:rPr>
                <w:rFonts w:hint="eastAsia" w:ascii="宋体" w:hAnsi="宋体"/>
                <w:color w:val="000000"/>
                <w:szCs w:val="21"/>
              </w:rPr>
              <w:t>废水治理</w:t>
            </w:r>
          </w:p>
        </w:tc>
        <w:tc>
          <w:tcPr>
            <w:tcW w:w="5944" w:type="dxa"/>
            <w:vAlign w:val="center"/>
          </w:tcPr>
          <w:p>
            <w:pPr>
              <w:spacing w:line="300" w:lineRule="atLeast"/>
              <w:jc w:val="center"/>
              <w:rPr>
                <w:rFonts w:hint="eastAsia" w:ascii="宋体" w:eastAsia="宋体"/>
                <w:color w:val="000000"/>
                <w:szCs w:val="21"/>
                <w:lang w:eastAsia="zh-CN"/>
              </w:rPr>
            </w:pPr>
            <w:r>
              <w:rPr>
                <w:rFonts w:hint="eastAsia" w:ascii="宋体" w:hAnsi="宋体"/>
                <w:color w:val="000000"/>
                <w:szCs w:val="21"/>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5" w:type="dxa"/>
            <w:vAlign w:val="center"/>
          </w:tcPr>
          <w:p>
            <w:pPr>
              <w:spacing w:line="300" w:lineRule="atLeast"/>
              <w:jc w:val="center"/>
              <w:rPr>
                <w:rFonts w:hint="eastAsia" w:ascii="宋体" w:hAnsi="宋体"/>
                <w:color w:val="000000"/>
                <w:szCs w:val="21"/>
              </w:rPr>
            </w:pPr>
            <w:r>
              <w:rPr>
                <w:rFonts w:hint="eastAsia" w:ascii="宋体" w:hAnsi="宋体"/>
                <w:color w:val="000000"/>
                <w:szCs w:val="21"/>
              </w:rPr>
              <w:t>废</w:t>
            </w:r>
            <w:r>
              <w:rPr>
                <w:rFonts w:hint="eastAsia" w:ascii="宋体" w:hAnsi="宋体"/>
                <w:color w:val="000000"/>
                <w:szCs w:val="21"/>
                <w:lang w:eastAsia="zh-CN"/>
              </w:rPr>
              <w:t>气</w:t>
            </w:r>
            <w:r>
              <w:rPr>
                <w:rFonts w:hint="eastAsia" w:ascii="宋体" w:hAnsi="宋体"/>
                <w:color w:val="000000"/>
                <w:szCs w:val="21"/>
              </w:rPr>
              <w:t>治理</w:t>
            </w:r>
          </w:p>
        </w:tc>
        <w:tc>
          <w:tcPr>
            <w:tcW w:w="5944" w:type="dxa"/>
            <w:vAlign w:val="center"/>
          </w:tcPr>
          <w:p>
            <w:pPr>
              <w:spacing w:line="300" w:lineRule="atLeast"/>
              <w:jc w:val="center"/>
              <w:rPr>
                <w:rFonts w:hint="eastAsia" w:ascii="宋体" w:hAnsi="宋体"/>
                <w:color w:val="000000"/>
                <w:szCs w:val="21"/>
                <w:lang w:val="en-US" w:eastAsia="zh-CN"/>
              </w:rPr>
            </w:pPr>
            <w:r>
              <w:rPr>
                <w:rFonts w:hint="eastAsia" w:ascii="宋体" w:hAnsi="宋体"/>
                <w:color w:val="000000"/>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5" w:type="dxa"/>
            <w:vAlign w:val="center"/>
          </w:tcPr>
          <w:p>
            <w:pPr>
              <w:spacing w:line="300" w:lineRule="atLeast"/>
              <w:jc w:val="center"/>
              <w:rPr>
                <w:rFonts w:hint="eastAsia" w:ascii="宋体" w:eastAsia="宋体"/>
                <w:color w:val="000000"/>
                <w:szCs w:val="21"/>
                <w:lang w:eastAsia="zh-CN"/>
              </w:rPr>
            </w:pPr>
            <w:r>
              <w:rPr>
                <w:rFonts w:hint="eastAsia" w:ascii="宋体" w:hAnsi="宋体"/>
                <w:color w:val="000000"/>
                <w:szCs w:val="21"/>
                <w:lang w:eastAsia="zh-CN"/>
              </w:rPr>
              <w:t>其他</w:t>
            </w:r>
          </w:p>
        </w:tc>
        <w:tc>
          <w:tcPr>
            <w:tcW w:w="5944" w:type="dxa"/>
            <w:vAlign w:val="center"/>
          </w:tcPr>
          <w:p>
            <w:pPr>
              <w:spacing w:line="300" w:lineRule="atLeast"/>
              <w:jc w:val="center"/>
              <w:rPr>
                <w:rFonts w:hint="eastAsia" w:ascii="宋体" w:eastAsia="宋体"/>
                <w:color w:val="000000"/>
                <w:szCs w:val="21"/>
                <w:lang w:eastAsia="zh-CN"/>
              </w:rPr>
            </w:pPr>
            <w:r>
              <w:rPr>
                <w:rFonts w:hint="eastAsia" w:ascii="宋体" w:hAnsi="宋体"/>
                <w:color w:val="00000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225" w:type="dxa"/>
            <w:vAlign w:val="center"/>
          </w:tcPr>
          <w:p>
            <w:pPr>
              <w:spacing w:line="300" w:lineRule="atLeast"/>
              <w:jc w:val="center"/>
              <w:rPr>
                <w:rFonts w:ascii="宋体"/>
                <w:color w:val="000000"/>
                <w:szCs w:val="21"/>
              </w:rPr>
            </w:pPr>
            <w:r>
              <w:rPr>
                <w:rFonts w:hint="eastAsia" w:ascii="宋体" w:hAnsi="宋体"/>
                <w:color w:val="000000"/>
                <w:szCs w:val="21"/>
              </w:rPr>
              <w:t>合计</w:t>
            </w:r>
          </w:p>
        </w:tc>
        <w:tc>
          <w:tcPr>
            <w:tcW w:w="5944" w:type="dxa"/>
            <w:vAlign w:val="center"/>
          </w:tcPr>
          <w:p>
            <w:pPr>
              <w:spacing w:line="300" w:lineRule="atLeast"/>
              <w:jc w:val="center"/>
              <w:rPr>
                <w:rFonts w:hint="eastAsia" w:ascii="宋体" w:eastAsia="宋体"/>
                <w:color w:val="000000"/>
                <w:szCs w:val="21"/>
                <w:lang w:eastAsia="zh-CN"/>
              </w:rPr>
            </w:pPr>
            <w:r>
              <w:rPr>
                <w:rFonts w:hint="eastAsia" w:ascii="宋体" w:hAnsi="宋体"/>
                <w:color w:val="000000"/>
                <w:szCs w:val="21"/>
                <w:lang w:val="en-US" w:eastAsia="zh-CN"/>
              </w:rPr>
              <w:t>32.2</w:t>
            </w:r>
          </w:p>
        </w:tc>
      </w:tr>
    </w:tbl>
    <w:p>
      <w:pPr>
        <w:pStyle w:val="4"/>
      </w:pPr>
      <w:bookmarkStart w:id="49" w:name="_Toc503884749"/>
      <w:r>
        <w:t xml:space="preserve">2.8 </w:t>
      </w:r>
      <w:r>
        <w:rPr>
          <w:rFonts w:hint="eastAsia"/>
        </w:rPr>
        <w:t>项目变更情况说明</w:t>
      </w:r>
      <w:bookmarkEnd w:id="49"/>
    </w:p>
    <w:p>
      <w:pPr>
        <w:spacing w:line="480" w:lineRule="atLeast"/>
        <w:ind w:firstLine="480" w:firstLineChars="200"/>
        <w:rPr>
          <w:rFonts w:ascii="宋体"/>
          <w:sz w:val="24"/>
          <w:szCs w:val="24"/>
        </w:rPr>
      </w:pPr>
      <w:r>
        <w:rPr>
          <w:rFonts w:hint="eastAsia" w:ascii="宋体" w:hAnsi="宋体"/>
          <w:sz w:val="24"/>
          <w:szCs w:val="24"/>
        </w:rPr>
        <w:t>经现场调查和与建设单位核实，该项目</w:t>
      </w:r>
      <w:r>
        <w:rPr>
          <w:rFonts w:hint="eastAsia" w:ascii="宋体" w:hAnsi="宋体"/>
          <w:sz w:val="24"/>
          <w:szCs w:val="24"/>
          <w:lang w:eastAsia="zh-CN"/>
        </w:rPr>
        <w:t>建设内容</w:t>
      </w:r>
      <w:r>
        <w:rPr>
          <w:rFonts w:hint="eastAsia" w:ascii="宋体" w:hAnsi="宋体"/>
          <w:sz w:val="24"/>
          <w:szCs w:val="24"/>
        </w:rPr>
        <w:t>与环评一致。</w:t>
      </w:r>
    </w:p>
    <w:p>
      <w:pPr>
        <w:pStyle w:val="4"/>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pPr>
      <w:bookmarkStart w:id="50" w:name="_Toc503884752"/>
      <w:r>
        <w:t xml:space="preserve">2.9 </w:t>
      </w:r>
      <w:r>
        <w:rPr>
          <w:rFonts w:hint="eastAsia"/>
        </w:rPr>
        <w:t>环境保护“三同时”落实情况</w:t>
      </w:r>
      <w:bookmarkEnd w:id="50"/>
    </w:p>
    <w:p>
      <w:pPr>
        <w:widowControl/>
        <w:spacing w:beforeLines="50" w:afterLines="50"/>
        <w:ind w:firstLine="480" w:firstLineChars="200"/>
        <w:rPr>
          <w:rFonts w:ascii="宋体"/>
          <w:sz w:val="24"/>
          <w:szCs w:val="24"/>
        </w:rPr>
      </w:pPr>
      <w:r>
        <w:rPr>
          <w:rFonts w:hint="eastAsia" w:ascii="宋体" w:hAnsi="宋体"/>
          <w:sz w:val="24"/>
          <w:szCs w:val="24"/>
        </w:rPr>
        <w:t>本项目环评及批复阶段要求建设内容“三同时”情况落实见表</w:t>
      </w:r>
      <w:r>
        <w:rPr>
          <w:rFonts w:ascii="宋体" w:hAnsi="宋体"/>
          <w:sz w:val="24"/>
          <w:szCs w:val="24"/>
        </w:rPr>
        <w:t>2-5</w:t>
      </w:r>
      <w:r>
        <w:rPr>
          <w:rFonts w:hint="eastAsia" w:ascii="宋体" w:hAnsi="宋体"/>
          <w:sz w:val="24"/>
          <w:szCs w:val="24"/>
        </w:rPr>
        <w:t>。</w:t>
      </w:r>
    </w:p>
    <w:p>
      <w:pPr>
        <w:keepNext w:val="0"/>
        <w:keepLines w:val="0"/>
        <w:pageBreakBefore w:val="0"/>
        <w:widowControl/>
        <w:kinsoku/>
        <w:wordWrap/>
        <w:overflowPunct/>
        <w:topLinePunct w:val="0"/>
        <w:autoSpaceDE/>
        <w:autoSpaceDN/>
        <w:bidi w:val="0"/>
        <w:adjustRightInd/>
        <w:snapToGrid/>
        <w:spacing w:before="313" w:beforeLines="100" w:line="360" w:lineRule="auto"/>
        <w:ind w:left="0" w:leftChars="0" w:right="0" w:rightChars="0" w:firstLine="137" w:firstLineChars="57"/>
        <w:jc w:val="center"/>
        <w:textAlignment w:val="auto"/>
        <w:outlineLvl w:val="9"/>
        <w:rPr>
          <w:rFonts w:ascii="宋体"/>
          <w:b/>
          <w:sz w:val="24"/>
          <w:szCs w:val="24"/>
        </w:rPr>
      </w:pPr>
      <w:r>
        <w:rPr>
          <w:rFonts w:hint="eastAsia" w:ascii="宋体" w:hAnsi="宋体"/>
          <w:b/>
          <w:sz w:val="24"/>
          <w:szCs w:val="24"/>
        </w:rPr>
        <w:t>表</w:t>
      </w:r>
      <w:r>
        <w:rPr>
          <w:rFonts w:ascii="宋体" w:hAnsi="宋体"/>
          <w:b/>
          <w:sz w:val="24"/>
          <w:szCs w:val="24"/>
        </w:rPr>
        <w:t>2-</w:t>
      </w:r>
      <w:bookmarkStart w:id="51" w:name="_Hlk496992852"/>
      <w:r>
        <w:rPr>
          <w:rFonts w:ascii="宋体" w:hAnsi="宋体"/>
          <w:b/>
          <w:sz w:val="24"/>
          <w:szCs w:val="24"/>
        </w:rPr>
        <w:t>5</w:t>
      </w:r>
      <w:r>
        <w:rPr>
          <w:rFonts w:hint="eastAsia" w:ascii="宋体" w:hAnsi="宋体"/>
          <w:b/>
          <w:sz w:val="24"/>
          <w:szCs w:val="24"/>
        </w:rPr>
        <w:t>环境保护“三同时”落实情况</w:t>
      </w:r>
      <w:bookmarkEnd w:id="51"/>
    </w:p>
    <w:tbl>
      <w:tblPr>
        <w:tblStyle w:val="35"/>
        <w:tblW w:w="9185" w:type="dxa"/>
        <w:jc w:val="center"/>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3"/>
        <w:gridCol w:w="1135"/>
        <w:gridCol w:w="760"/>
        <w:gridCol w:w="1855"/>
        <w:gridCol w:w="788"/>
        <w:gridCol w:w="844"/>
        <w:gridCol w:w="1387"/>
        <w:gridCol w:w="1500"/>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类别</w:t>
            </w: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治理对象</w:t>
            </w:r>
          </w:p>
        </w:tc>
        <w:tc>
          <w:tcPr>
            <w:tcW w:w="2615" w:type="dxa"/>
            <w:gridSpan w:val="2"/>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治理措施</w:t>
            </w:r>
          </w:p>
        </w:tc>
        <w:tc>
          <w:tcPr>
            <w:tcW w:w="78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台(套)</w:t>
            </w:r>
          </w:p>
        </w:tc>
        <w:tc>
          <w:tcPr>
            <w:tcW w:w="84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投资</w:t>
            </w:r>
          </w:p>
          <w:p>
            <w:pPr>
              <w:spacing w:line="0" w:lineRule="atLeast"/>
              <w:jc w:val="center"/>
              <w:rPr>
                <w:rFonts w:hint="eastAsia" w:hAnsi="宋体"/>
                <w:spacing w:val="-10"/>
                <w:sz w:val="23"/>
                <w:szCs w:val="23"/>
              </w:rPr>
            </w:pPr>
            <w:r>
              <w:rPr>
                <w:rFonts w:hint="eastAsia" w:hAnsi="宋体"/>
                <w:spacing w:val="-10"/>
                <w:sz w:val="23"/>
                <w:szCs w:val="23"/>
              </w:rPr>
              <w:t>(万元)</w:t>
            </w:r>
          </w:p>
        </w:tc>
        <w:tc>
          <w:tcPr>
            <w:tcW w:w="138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治理效果</w:t>
            </w:r>
          </w:p>
        </w:tc>
        <w:tc>
          <w:tcPr>
            <w:tcW w:w="1500"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验收标准</w:t>
            </w:r>
          </w:p>
        </w:tc>
        <w:tc>
          <w:tcPr>
            <w:tcW w:w="533" w:type="dxa"/>
            <w:tcBorders>
              <w:tl2br w:val="nil"/>
              <w:tr2bl w:val="nil"/>
            </w:tcBorders>
            <w:vAlign w:val="center"/>
          </w:tcPr>
          <w:p>
            <w:pPr>
              <w:spacing w:line="0" w:lineRule="atLeast"/>
              <w:jc w:val="center"/>
              <w:rPr>
                <w:rFonts w:hint="eastAsia" w:hAnsi="宋体"/>
                <w:spacing w:val="-10"/>
                <w:sz w:val="23"/>
                <w:szCs w:val="23"/>
                <w:lang w:eastAsia="zh-CN"/>
              </w:rPr>
            </w:pPr>
            <w:r>
              <w:rPr>
                <w:rFonts w:hint="eastAsia" w:hAnsi="宋体"/>
                <w:spacing w:val="-10"/>
                <w:sz w:val="23"/>
                <w:szCs w:val="23"/>
                <w:lang w:eastAsia="zh-CN"/>
              </w:rPr>
              <w:t>落实</w:t>
            </w:r>
          </w:p>
          <w:p>
            <w:pPr>
              <w:spacing w:line="0" w:lineRule="atLeast"/>
              <w:jc w:val="center"/>
              <w:rPr>
                <w:rFonts w:hint="eastAsia" w:hAnsi="宋体" w:eastAsia="宋体"/>
                <w:spacing w:val="-10"/>
                <w:sz w:val="23"/>
                <w:szCs w:val="23"/>
                <w:lang w:eastAsia="zh-CN"/>
              </w:rPr>
            </w:pPr>
            <w:r>
              <w:rPr>
                <w:rFonts w:hint="eastAsia" w:hAnsi="宋体"/>
                <w:spacing w:val="-10"/>
                <w:sz w:val="23"/>
                <w:szCs w:val="23"/>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废气</w:t>
            </w: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焊管车间无组织废气</w:t>
            </w:r>
          </w:p>
        </w:tc>
        <w:tc>
          <w:tcPr>
            <w:tcW w:w="2615" w:type="dxa"/>
            <w:gridSpan w:val="2"/>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移动式焊烟净化机组</w:t>
            </w:r>
          </w:p>
        </w:tc>
        <w:tc>
          <w:tcPr>
            <w:tcW w:w="78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4</w:t>
            </w:r>
          </w:p>
        </w:tc>
        <w:tc>
          <w:tcPr>
            <w:tcW w:w="84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1.2</w:t>
            </w:r>
          </w:p>
        </w:tc>
        <w:tc>
          <w:tcPr>
            <w:tcW w:w="1387" w:type="dxa"/>
            <w:tcBorders>
              <w:tl2br w:val="nil"/>
              <w:tr2bl w:val="nil"/>
            </w:tcBorders>
            <w:vAlign w:val="center"/>
          </w:tcPr>
          <w:p>
            <w:pPr>
              <w:spacing w:line="0" w:lineRule="atLeast"/>
              <w:jc w:val="center"/>
              <w:rPr>
                <w:rFonts w:hint="eastAsia" w:hAnsi="宋体"/>
                <w:spacing w:val="-10"/>
                <w:sz w:val="23"/>
                <w:szCs w:val="23"/>
                <w:vertAlign w:val="superscript"/>
              </w:rPr>
            </w:pPr>
            <w:r>
              <w:rPr>
                <w:rFonts w:hint="eastAsia" w:hAnsi="宋体"/>
                <w:spacing w:val="-10"/>
                <w:sz w:val="23"/>
                <w:szCs w:val="23"/>
              </w:rPr>
              <w:t>颗粒物无组织排放监控浓度≤1</w:t>
            </w:r>
            <w:r>
              <w:rPr>
                <w:rFonts w:hAnsi="宋体"/>
                <w:spacing w:val="-10"/>
                <w:sz w:val="23"/>
                <w:szCs w:val="23"/>
              </w:rPr>
              <w:t>mg/m</w:t>
            </w:r>
            <w:r>
              <w:rPr>
                <w:rFonts w:hAnsi="宋体"/>
                <w:spacing w:val="-10"/>
                <w:sz w:val="23"/>
                <w:szCs w:val="23"/>
                <w:vertAlign w:val="superscript"/>
              </w:rPr>
              <w:t>3</w:t>
            </w:r>
          </w:p>
        </w:tc>
        <w:tc>
          <w:tcPr>
            <w:tcW w:w="1500"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(GB16297-1996)中表2无组织排放监控浓度</w:t>
            </w:r>
          </w:p>
          <w:p>
            <w:pPr>
              <w:spacing w:line="0" w:lineRule="atLeast"/>
              <w:jc w:val="center"/>
              <w:rPr>
                <w:rFonts w:hint="eastAsia" w:hAnsi="宋体"/>
                <w:spacing w:val="-10"/>
                <w:sz w:val="23"/>
                <w:szCs w:val="23"/>
              </w:rPr>
            </w:pPr>
            <w:r>
              <w:rPr>
                <w:rFonts w:hint="eastAsia" w:hAnsi="宋体"/>
                <w:spacing w:val="-10"/>
                <w:sz w:val="23"/>
                <w:szCs w:val="23"/>
              </w:rPr>
              <w:t>限值</w:t>
            </w:r>
          </w:p>
        </w:tc>
        <w:tc>
          <w:tcPr>
            <w:tcW w:w="533"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废水</w:t>
            </w: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带钢冲洗系统排污水</w:t>
            </w:r>
          </w:p>
        </w:tc>
        <w:tc>
          <w:tcPr>
            <w:tcW w:w="760"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沉淀池</w:t>
            </w:r>
          </w:p>
        </w:tc>
        <w:tc>
          <w:tcPr>
            <w:tcW w:w="185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废水经沉淀池处理后，循环使用，不外排</w:t>
            </w:r>
          </w:p>
        </w:tc>
        <w:tc>
          <w:tcPr>
            <w:tcW w:w="78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1</w:t>
            </w:r>
          </w:p>
        </w:tc>
        <w:tc>
          <w:tcPr>
            <w:tcW w:w="84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10</w:t>
            </w:r>
          </w:p>
        </w:tc>
        <w:tc>
          <w:tcPr>
            <w:tcW w:w="138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作为带钢冲洗系统补水</w:t>
            </w:r>
          </w:p>
        </w:tc>
        <w:tc>
          <w:tcPr>
            <w:tcW w:w="1500" w:type="dxa"/>
            <w:tcBorders>
              <w:tl2br w:val="nil"/>
              <w:tr2bl w:val="nil"/>
            </w:tcBorders>
            <w:vAlign w:val="center"/>
          </w:tcPr>
          <w:p>
            <w:pPr>
              <w:spacing w:line="0" w:lineRule="atLeast"/>
              <w:rPr>
                <w:rFonts w:hint="eastAsia" w:hAnsi="宋体"/>
                <w:spacing w:val="-10"/>
                <w:sz w:val="23"/>
                <w:szCs w:val="23"/>
              </w:rPr>
            </w:pPr>
            <w:r>
              <w:rPr>
                <w:rFonts w:hint="eastAsia" w:hAnsi="宋体"/>
                <w:spacing w:val="-10"/>
                <w:sz w:val="23"/>
                <w:szCs w:val="23"/>
              </w:rPr>
              <w:t>全部综合利用，不外排</w:t>
            </w:r>
          </w:p>
        </w:tc>
        <w:tc>
          <w:tcPr>
            <w:tcW w:w="533" w:type="dxa"/>
            <w:tcBorders>
              <w:tl2br w:val="nil"/>
              <w:tr2bl w:val="nil"/>
            </w:tcBorders>
            <w:vAlign w:val="center"/>
          </w:tcPr>
          <w:p>
            <w:pPr>
              <w:spacing w:line="0" w:lineRule="atLeast"/>
              <w:rPr>
                <w:rFonts w:hint="eastAsia" w:hAnsi="宋体"/>
                <w:spacing w:val="-10"/>
                <w:sz w:val="23"/>
                <w:szCs w:val="23"/>
              </w:rPr>
            </w:pPr>
            <w:r>
              <w:rPr>
                <w:rFonts w:hint="eastAsia" w:hAnsi="宋体"/>
                <w:spacing w:val="-10"/>
                <w:sz w:val="23"/>
                <w:szCs w:val="23"/>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88"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冷却及水压系统排污水</w:t>
            </w:r>
          </w:p>
        </w:tc>
        <w:tc>
          <w:tcPr>
            <w:tcW w:w="760"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沉淀池+带式除油机</w:t>
            </w:r>
          </w:p>
        </w:tc>
        <w:tc>
          <w:tcPr>
            <w:tcW w:w="185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废水经沉淀池+带式除油机处理，并经冷却塔降温后循环使用，不外排</w:t>
            </w:r>
          </w:p>
        </w:tc>
        <w:tc>
          <w:tcPr>
            <w:tcW w:w="78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1</w:t>
            </w:r>
          </w:p>
        </w:tc>
        <w:tc>
          <w:tcPr>
            <w:tcW w:w="84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16</w:t>
            </w:r>
          </w:p>
        </w:tc>
        <w:tc>
          <w:tcPr>
            <w:tcW w:w="138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作为冷却及水压系统补水</w:t>
            </w:r>
          </w:p>
        </w:tc>
        <w:tc>
          <w:tcPr>
            <w:tcW w:w="1500" w:type="dxa"/>
            <w:tcBorders>
              <w:tl2br w:val="nil"/>
              <w:tr2bl w:val="nil"/>
            </w:tcBorders>
            <w:vAlign w:val="center"/>
          </w:tcPr>
          <w:p>
            <w:pPr>
              <w:spacing w:line="0" w:lineRule="atLeast"/>
              <w:rPr>
                <w:rFonts w:hint="eastAsia" w:hAnsi="宋体"/>
                <w:spacing w:val="-10"/>
                <w:sz w:val="23"/>
                <w:szCs w:val="23"/>
              </w:rPr>
            </w:pPr>
            <w:r>
              <w:rPr>
                <w:rFonts w:hint="eastAsia" w:hAnsi="宋体"/>
                <w:spacing w:val="-10"/>
                <w:sz w:val="23"/>
                <w:szCs w:val="23"/>
              </w:rPr>
              <w:t>全部综合利用，不外排</w:t>
            </w:r>
          </w:p>
        </w:tc>
        <w:tc>
          <w:tcPr>
            <w:tcW w:w="533" w:type="dxa"/>
            <w:tcBorders>
              <w:tl2br w:val="nil"/>
              <w:tr2bl w:val="nil"/>
            </w:tcBorders>
            <w:vAlign w:val="center"/>
          </w:tcPr>
          <w:p>
            <w:pPr>
              <w:spacing w:line="0" w:lineRule="atLeast"/>
              <w:rPr>
                <w:rFonts w:hint="eastAsia" w:hAnsi="宋体"/>
                <w:spacing w:val="-10"/>
                <w:sz w:val="23"/>
                <w:szCs w:val="23"/>
              </w:rPr>
            </w:pPr>
            <w:r>
              <w:rPr>
                <w:rFonts w:hint="eastAsia" w:hAnsi="宋体"/>
                <w:spacing w:val="-10"/>
                <w:sz w:val="23"/>
                <w:szCs w:val="23"/>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食堂废水</w:t>
            </w:r>
          </w:p>
        </w:tc>
        <w:tc>
          <w:tcPr>
            <w:tcW w:w="760"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隔油池</w:t>
            </w:r>
          </w:p>
        </w:tc>
        <w:tc>
          <w:tcPr>
            <w:tcW w:w="1855"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食堂废水经厂区现有隔油池处理后和生活污水一起进入厂区现有化粪池处理</w:t>
            </w:r>
          </w:p>
        </w:tc>
        <w:tc>
          <w:tcPr>
            <w:tcW w:w="78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84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387"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经开发区污水管网排入丰南区城南污水处理厂处理</w:t>
            </w:r>
          </w:p>
        </w:tc>
        <w:tc>
          <w:tcPr>
            <w:tcW w:w="1500" w:type="dxa"/>
            <w:vMerge w:val="restart"/>
            <w:tcBorders>
              <w:tl2br w:val="nil"/>
              <w:tr2bl w:val="nil"/>
            </w:tcBorders>
            <w:vAlign w:val="center"/>
          </w:tcPr>
          <w:p>
            <w:pPr>
              <w:spacing w:line="0" w:lineRule="atLeast"/>
              <w:rPr>
                <w:rFonts w:hint="eastAsia" w:hAnsi="宋体"/>
                <w:spacing w:val="-10"/>
                <w:sz w:val="23"/>
                <w:szCs w:val="23"/>
              </w:rPr>
            </w:pPr>
            <w:r>
              <w:rPr>
                <w:rFonts w:hint="eastAsia" w:hAnsi="宋体"/>
                <w:spacing w:val="-10"/>
                <w:sz w:val="23"/>
                <w:szCs w:val="23"/>
              </w:rPr>
              <w:t>(</w:t>
            </w:r>
            <w:r>
              <w:rPr>
                <w:rFonts w:hAnsi="宋体"/>
                <w:spacing w:val="-10"/>
                <w:sz w:val="23"/>
                <w:szCs w:val="23"/>
              </w:rPr>
              <w:t>GB</w:t>
            </w:r>
            <w:r>
              <w:rPr>
                <w:rFonts w:hint="eastAsia" w:hAnsi="宋体"/>
                <w:spacing w:val="-10"/>
                <w:sz w:val="23"/>
                <w:szCs w:val="23"/>
              </w:rPr>
              <w:t>13456</w:t>
            </w:r>
            <w:r>
              <w:rPr>
                <w:rFonts w:hAnsi="宋体"/>
                <w:spacing w:val="-10"/>
                <w:sz w:val="23"/>
                <w:szCs w:val="23"/>
              </w:rPr>
              <w:t>-</w:t>
            </w:r>
            <w:r>
              <w:rPr>
                <w:rFonts w:hint="eastAsia" w:hAnsi="宋体"/>
                <w:spacing w:val="-10"/>
                <w:sz w:val="23"/>
                <w:szCs w:val="23"/>
              </w:rPr>
              <w:t>2012)表2中间接排放限值，同时满足</w:t>
            </w:r>
            <w:r>
              <w:rPr>
                <w:rFonts w:hAnsi="宋体"/>
                <w:spacing w:val="-10"/>
                <w:sz w:val="23"/>
                <w:szCs w:val="23"/>
              </w:rPr>
              <w:t>丰南区城南污水处理厂</w:t>
            </w:r>
            <w:r>
              <w:rPr>
                <w:rFonts w:hint="eastAsia" w:hAnsi="宋体"/>
                <w:spacing w:val="-10"/>
                <w:sz w:val="23"/>
                <w:szCs w:val="23"/>
              </w:rPr>
              <w:t>进水水质要求</w:t>
            </w:r>
          </w:p>
        </w:tc>
        <w:tc>
          <w:tcPr>
            <w:tcW w:w="533" w:type="dxa"/>
            <w:tcBorders>
              <w:tl2br w:val="nil"/>
              <w:tr2bl w:val="nil"/>
            </w:tcBorders>
            <w:vAlign w:val="center"/>
          </w:tcPr>
          <w:p>
            <w:pPr>
              <w:spacing w:line="0" w:lineRule="atLeast"/>
              <w:rPr>
                <w:rFonts w:hint="eastAsia" w:hAnsi="宋体"/>
                <w:spacing w:val="-10"/>
                <w:sz w:val="23"/>
                <w:szCs w:val="23"/>
              </w:rPr>
            </w:pPr>
            <w:r>
              <w:rPr>
                <w:rFonts w:hint="eastAsia" w:hAnsi="宋体"/>
                <w:spacing w:val="-10"/>
                <w:sz w:val="23"/>
                <w:szCs w:val="23"/>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生活污水</w:t>
            </w:r>
          </w:p>
        </w:tc>
        <w:tc>
          <w:tcPr>
            <w:tcW w:w="760"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化粪池</w:t>
            </w:r>
          </w:p>
        </w:tc>
        <w:tc>
          <w:tcPr>
            <w:tcW w:w="1855" w:type="dxa"/>
            <w:vMerge w:val="continue"/>
            <w:tcBorders>
              <w:tl2br w:val="nil"/>
              <w:tr2bl w:val="nil"/>
            </w:tcBorders>
            <w:vAlign w:val="center"/>
          </w:tcPr>
          <w:p>
            <w:pPr>
              <w:spacing w:line="0" w:lineRule="atLeast"/>
              <w:jc w:val="center"/>
              <w:rPr>
                <w:rFonts w:hint="eastAsia" w:hAnsi="宋体"/>
                <w:spacing w:val="-10"/>
                <w:sz w:val="23"/>
                <w:szCs w:val="23"/>
              </w:rPr>
            </w:pPr>
          </w:p>
        </w:tc>
        <w:tc>
          <w:tcPr>
            <w:tcW w:w="78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84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387" w:type="dxa"/>
            <w:vMerge w:val="continue"/>
            <w:tcBorders>
              <w:tl2br w:val="nil"/>
              <w:tr2bl w:val="nil"/>
            </w:tcBorders>
            <w:vAlign w:val="center"/>
          </w:tcPr>
          <w:p>
            <w:pPr>
              <w:spacing w:line="0" w:lineRule="atLeast"/>
              <w:jc w:val="center"/>
              <w:rPr>
                <w:rFonts w:hint="eastAsia" w:hAnsi="宋体"/>
                <w:spacing w:val="-10"/>
                <w:sz w:val="23"/>
                <w:szCs w:val="23"/>
              </w:rPr>
            </w:pPr>
          </w:p>
        </w:tc>
        <w:tc>
          <w:tcPr>
            <w:tcW w:w="1500" w:type="dxa"/>
            <w:vMerge w:val="continue"/>
            <w:tcBorders>
              <w:tl2br w:val="nil"/>
              <w:tr2bl w:val="nil"/>
            </w:tcBorders>
            <w:vAlign w:val="center"/>
          </w:tcPr>
          <w:p>
            <w:pPr>
              <w:spacing w:line="0" w:lineRule="atLeast"/>
              <w:rPr>
                <w:rFonts w:hint="eastAsia" w:hAnsi="宋体"/>
                <w:spacing w:val="-10"/>
                <w:sz w:val="23"/>
                <w:szCs w:val="23"/>
              </w:rPr>
            </w:pPr>
          </w:p>
        </w:tc>
        <w:tc>
          <w:tcPr>
            <w:tcW w:w="533" w:type="dxa"/>
            <w:tcBorders>
              <w:tl2br w:val="nil"/>
              <w:tr2bl w:val="nil"/>
            </w:tcBorders>
            <w:vAlign w:val="center"/>
          </w:tcPr>
          <w:p>
            <w:pPr>
              <w:spacing w:line="0" w:lineRule="atLeast"/>
              <w:rPr>
                <w:rFonts w:hint="eastAsia" w:hAnsi="宋体"/>
                <w:spacing w:val="-10"/>
                <w:sz w:val="23"/>
                <w:szCs w:val="23"/>
              </w:rPr>
            </w:pPr>
            <w:r>
              <w:rPr>
                <w:rFonts w:hint="eastAsia" w:hAnsi="宋体"/>
                <w:spacing w:val="-10"/>
                <w:sz w:val="23"/>
                <w:szCs w:val="23"/>
                <w:lang w:eastAsia="zh-CN"/>
              </w:rPr>
              <w:t>落实</w:t>
            </w:r>
          </w:p>
        </w:tc>
      </w:tr>
    </w:tbl>
    <w:p>
      <w:pPr>
        <w:keepNext w:val="0"/>
        <w:keepLines w:val="0"/>
        <w:pageBreakBefore w:val="0"/>
        <w:widowControl w:val="0"/>
        <w:kinsoku/>
        <w:wordWrap/>
        <w:overflowPunct/>
        <w:topLinePunct w:val="0"/>
        <w:autoSpaceDE/>
        <w:autoSpaceDN/>
        <w:bidi w:val="0"/>
        <w:adjustRightInd/>
        <w:snapToGrid/>
        <w:spacing w:before="157" w:beforeLines="50" w:line="360" w:lineRule="exact"/>
        <w:ind w:left="0" w:leftChars="0" w:right="0" w:rightChars="0" w:firstLine="0" w:firstLineChars="0"/>
        <w:jc w:val="both"/>
        <w:textAlignment w:val="auto"/>
        <w:outlineLvl w:val="9"/>
        <w:rPr>
          <w:rFonts w:hint="eastAsia" w:eastAsia="宋体"/>
          <w:lang w:eastAsia="zh-CN"/>
        </w:rPr>
      </w:pPr>
      <w:r>
        <w:rPr>
          <w:rFonts w:hint="eastAsia" w:ascii="宋体" w:hAnsi="宋体" w:eastAsia="宋体" w:cs="Times New Roman"/>
          <w:b/>
          <w:kern w:val="2"/>
          <w:sz w:val="28"/>
          <w:szCs w:val="22"/>
          <w:lang w:val="en-US" w:eastAsia="zh-CN" w:bidi="ar-SA"/>
        </w:rPr>
        <w:t>续上表</w:t>
      </w:r>
    </w:p>
    <w:tbl>
      <w:tblPr>
        <w:tblStyle w:val="35"/>
        <w:tblW w:w="9185" w:type="dxa"/>
        <w:jc w:val="center"/>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3"/>
        <w:gridCol w:w="1135"/>
        <w:gridCol w:w="1884"/>
        <w:gridCol w:w="825"/>
        <w:gridCol w:w="928"/>
        <w:gridCol w:w="1219"/>
        <w:gridCol w:w="1894"/>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噪声</w:t>
            </w: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冷却塔</w:t>
            </w:r>
          </w:p>
        </w:tc>
        <w:tc>
          <w:tcPr>
            <w:tcW w:w="188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219"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894"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 xml:space="preserve">厂界满足GB12348-2008 </w:t>
            </w:r>
          </w:p>
          <w:p>
            <w:pPr>
              <w:spacing w:line="0" w:lineRule="atLeast"/>
              <w:jc w:val="center"/>
              <w:rPr>
                <w:rFonts w:hint="eastAsia" w:hAnsi="宋体"/>
                <w:spacing w:val="-10"/>
                <w:sz w:val="23"/>
                <w:szCs w:val="23"/>
              </w:rPr>
            </w:pPr>
            <w:r>
              <w:rPr>
                <w:rFonts w:hint="eastAsia" w:hAnsi="宋体"/>
                <w:spacing w:val="-10"/>
                <w:sz w:val="23"/>
                <w:szCs w:val="23"/>
              </w:rPr>
              <w:t>3类区相应排放限值</w:t>
            </w:r>
          </w:p>
        </w:tc>
        <w:tc>
          <w:tcPr>
            <w:tcW w:w="917"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机械设备及焊管落料</w:t>
            </w:r>
          </w:p>
        </w:tc>
        <w:tc>
          <w:tcPr>
            <w:tcW w:w="188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厂房隔声</w:t>
            </w: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219"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降噪15</w:t>
            </w:r>
            <w:r>
              <w:rPr>
                <w:rFonts w:hAnsi="宋体"/>
                <w:spacing w:val="-10"/>
                <w:sz w:val="23"/>
                <w:szCs w:val="23"/>
              </w:rPr>
              <w:t>dB(A)</w:t>
            </w:r>
          </w:p>
        </w:tc>
        <w:tc>
          <w:tcPr>
            <w:tcW w:w="1894" w:type="dxa"/>
            <w:vMerge w:val="continue"/>
            <w:tcBorders>
              <w:tl2br w:val="nil"/>
              <w:tr2bl w:val="nil"/>
            </w:tcBorders>
            <w:vAlign w:val="center"/>
          </w:tcPr>
          <w:p>
            <w:pPr>
              <w:spacing w:line="0" w:lineRule="atLeast"/>
              <w:jc w:val="center"/>
              <w:rPr>
                <w:rFonts w:hint="eastAsia" w:hAnsi="宋体"/>
                <w:spacing w:val="-10"/>
                <w:sz w:val="23"/>
                <w:szCs w:val="23"/>
              </w:rPr>
            </w:pPr>
          </w:p>
        </w:tc>
        <w:tc>
          <w:tcPr>
            <w:tcW w:w="917" w:type="dxa"/>
            <w:vMerge w:val="continue"/>
            <w:tcBorders>
              <w:tl2br w:val="nil"/>
              <w:tr2bl w:val="nil"/>
            </w:tcBorders>
            <w:vAlign w:val="center"/>
          </w:tcPr>
          <w:p>
            <w:pPr>
              <w:spacing w:line="0" w:lineRule="atLeast"/>
              <w:jc w:val="center"/>
              <w:rPr>
                <w:rFonts w:hint="eastAsia" w:hAnsi="宋体"/>
                <w:spacing w:val="-1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固体废物</w:t>
            </w: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金属废料</w:t>
            </w:r>
          </w:p>
        </w:tc>
        <w:tc>
          <w:tcPr>
            <w:tcW w:w="1884"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外售钢铁企业用作生产原料</w:t>
            </w: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219"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全部综合利用或妥善处置</w:t>
            </w:r>
          </w:p>
        </w:tc>
        <w:tc>
          <w:tcPr>
            <w:tcW w:w="18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17"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焊渣</w:t>
            </w:r>
          </w:p>
        </w:tc>
        <w:tc>
          <w:tcPr>
            <w:tcW w:w="1884" w:type="dxa"/>
            <w:vMerge w:val="continue"/>
            <w:tcBorders>
              <w:tl2br w:val="nil"/>
              <w:tr2bl w:val="nil"/>
            </w:tcBorders>
            <w:vAlign w:val="center"/>
          </w:tcPr>
          <w:p>
            <w:pPr>
              <w:spacing w:line="0" w:lineRule="atLeast"/>
              <w:jc w:val="center"/>
              <w:rPr>
                <w:rFonts w:hint="eastAsia" w:hAnsi="宋体"/>
                <w:spacing w:val="-10"/>
                <w:sz w:val="23"/>
                <w:szCs w:val="23"/>
              </w:rPr>
            </w:pP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219" w:type="dxa"/>
            <w:vMerge w:val="continue"/>
            <w:tcBorders>
              <w:tl2br w:val="nil"/>
              <w:tr2bl w:val="nil"/>
            </w:tcBorders>
            <w:vAlign w:val="center"/>
          </w:tcPr>
          <w:p>
            <w:pPr>
              <w:spacing w:line="0" w:lineRule="atLeast"/>
              <w:jc w:val="center"/>
              <w:rPr>
                <w:rFonts w:hint="eastAsia" w:hAnsi="宋体"/>
                <w:spacing w:val="-10"/>
                <w:sz w:val="23"/>
                <w:szCs w:val="23"/>
              </w:rPr>
            </w:pPr>
          </w:p>
        </w:tc>
        <w:tc>
          <w:tcPr>
            <w:tcW w:w="18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17" w:type="dxa"/>
            <w:vMerge w:val="continue"/>
            <w:tcBorders>
              <w:tl2br w:val="nil"/>
              <w:tr2bl w:val="nil"/>
            </w:tcBorders>
            <w:vAlign w:val="center"/>
          </w:tcPr>
          <w:p>
            <w:pPr>
              <w:spacing w:line="0" w:lineRule="atLeast"/>
              <w:jc w:val="center"/>
              <w:rPr>
                <w:rFonts w:hint="eastAsia" w:hAnsi="宋体"/>
                <w:spacing w:val="-1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毛刺废渣</w:t>
            </w:r>
          </w:p>
        </w:tc>
        <w:tc>
          <w:tcPr>
            <w:tcW w:w="1884" w:type="dxa"/>
            <w:vMerge w:val="continue"/>
            <w:tcBorders>
              <w:tl2br w:val="nil"/>
              <w:tr2bl w:val="nil"/>
            </w:tcBorders>
            <w:vAlign w:val="center"/>
          </w:tcPr>
          <w:p>
            <w:pPr>
              <w:spacing w:line="0" w:lineRule="atLeast"/>
              <w:jc w:val="center"/>
              <w:rPr>
                <w:rFonts w:hint="eastAsia" w:hAnsi="宋体"/>
                <w:spacing w:val="-10"/>
                <w:sz w:val="23"/>
                <w:szCs w:val="23"/>
              </w:rPr>
            </w:pP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219" w:type="dxa"/>
            <w:vMerge w:val="continue"/>
            <w:tcBorders>
              <w:tl2br w:val="nil"/>
              <w:tr2bl w:val="nil"/>
            </w:tcBorders>
            <w:vAlign w:val="center"/>
          </w:tcPr>
          <w:p>
            <w:pPr>
              <w:spacing w:line="0" w:lineRule="atLeast"/>
              <w:jc w:val="center"/>
              <w:rPr>
                <w:rFonts w:hint="eastAsia" w:hAnsi="宋体"/>
                <w:spacing w:val="-10"/>
                <w:sz w:val="23"/>
                <w:szCs w:val="23"/>
              </w:rPr>
            </w:pPr>
          </w:p>
        </w:tc>
        <w:tc>
          <w:tcPr>
            <w:tcW w:w="18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17" w:type="dxa"/>
            <w:vMerge w:val="continue"/>
            <w:tcBorders>
              <w:tl2br w:val="nil"/>
              <w:tr2bl w:val="nil"/>
            </w:tcBorders>
            <w:vAlign w:val="center"/>
          </w:tcPr>
          <w:p>
            <w:pPr>
              <w:spacing w:line="0" w:lineRule="atLeast"/>
              <w:jc w:val="center"/>
              <w:rPr>
                <w:rFonts w:hint="eastAsia" w:hAnsi="宋体"/>
                <w:spacing w:val="-1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氧化铁皮</w:t>
            </w:r>
          </w:p>
        </w:tc>
        <w:tc>
          <w:tcPr>
            <w:tcW w:w="1884" w:type="dxa"/>
            <w:vMerge w:val="continue"/>
            <w:tcBorders>
              <w:tl2br w:val="nil"/>
              <w:tr2bl w:val="nil"/>
            </w:tcBorders>
            <w:vAlign w:val="center"/>
          </w:tcPr>
          <w:p>
            <w:pPr>
              <w:spacing w:line="0" w:lineRule="atLeast"/>
              <w:jc w:val="center"/>
              <w:rPr>
                <w:rFonts w:hint="eastAsia" w:hAnsi="宋体"/>
                <w:spacing w:val="-10"/>
                <w:sz w:val="23"/>
                <w:szCs w:val="23"/>
              </w:rPr>
            </w:pP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219" w:type="dxa"/>
            <w:vMerge w:val="continue"/>
            <w:tcBorders>
              <w:tl2br w:val="nil"/>
              <w:tr2bl w:val="nil"/>
            </w:tcBorders>
            <w:vAlign w:val="center"/>
          </w:tcPr>
          <w:p>
            <w:pPr>
              <w:spacing w:line="0" w:lineRule="atLeast"/>
              <w:jc w:val="center"/>
              <w:rPr>
                <w:rFonts w:hint="eastAsia" w:hAnsi="宋体"/>
                <w:spacing w:val="-10"/>
                <w:sz w:val="23"/>
                <w:szCs w:val="23"/>
              </w:rPr>
            </w:pPr>
          </w:p>
        </w:tc>
        <w:tc>
          <w:tcPr>
            <w:tcW w:w="18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17" w:type="dxa"/>
            <w:vMerge w:val="continue"/>
            <w:tcBorders>
              <w:tl2br w:val="nil"/>
              <w:tr2bl w:val="nil"/>
            </w:tcBorders>
            <w:vAlign w:val="center"/>
          </w:tcPr>
          <w:p>
            <w:pPr>
              <w:spacing w:line="0" w:lineRule="atLeast"/>
              <w:jc w:val="center"/>
              <w:rPr>
                <w:rFonts w:hint="eastAsia" w:hAnsi="宋体"/>
                <w:spacing w:val="-1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废油</w:t>
            </w:r>
          </w:p>
        </w:tc>
        <w:tc>
          <w:tcPr>
            <w:tcW w:w="188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桶装收集后暂存于危废暂存间，定期送唐山优艺胜星再生资源有限公司处置</w:t>
            </w: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219" w:type="dxa"/>
            <w:vMerge w:val="continue"/>
            <w:tcBorders>
              <w:tl2br w:val="nil"/>
              <w:tr2bl w:val="nil"/>
            </w:tcBorders>
            <w:vAlign w:val="center"/>
          </w:tcPr>
          <w:p>
            <w:pPr>
              <w:spacing w:line="0" w:lineRule="atLeast"/>
              <w:jc w:val="center"/>
              <w:rPr>
                <w:rFonts w:hint="eastAsia" w:hAnsi="宋体"/>
                <w:spacing w:val="-10"/>
                <w:sz w:val="23"/>
                <w:szCs w:val="23"/>
              </w:rPr>
            </w:pPr>
          </w:p>
        </w:tc>
        <w:tc>
          <w:tcPr>
            <w:tcW w:w="18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1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lang w:eastAsia="zh-CN"/>
              </w:rPr>
              <w:t>已建</w:t>
            </w:r>
            <w:r>
              <w:rPr>
                <w:rFonts w:hint="eastAsia" w:hAnsi="宋体"/>
                <w:spacing w:val="-10"/>
                <w:sz w:val="23"/>
                <w:szCs w:val="23"/>
              </w:rPr>
              <w:t>危废暂存间</w:t>
            </w:r>
            <w:r>
              <w:rPr>
                <w:rFonts w:hint="eastAsia" w:hAnsi="宋体"/>
                <w:spacing w:val="-10"/>
                <w:sz w:val="23"/>
                <w:szCs w:val="23"/>
                <w:lang w:eastAsia="zh-CN"/>
              </w:rPr>
              <w:t>，并交有资质单位处理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焊条头</w:t>
            </w:r>
          </w:p>
        </w:tc>
        <w:tc>
          <w:tcPr>
            <w:tcW w:w="1884"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由环卫部门收集后送指定地点填埋</w:t>
            </w: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219" w:type="dxa"/>
            <w:vMerge w:val="continue"/>
            <w:tcBorders>
              <w:tl2br w:val="nil"/>
              <w:tr2bl w:val="nil"/>
            </w:tcBorders>
            <w:vAlign w:val="center"/>
          </w:tcPr>
          <w:p>
            <w:pPr>
              <w:spacing w:line="0" w:lineRule="atLeast"/>
              <w:jc w:val="center"/>
              <w:rPr>
                <w:rFonts w:hint="eastAsia" w:hAnsi="宋体"/>
                <w:spacing w:val="-10"/>
                <w:sz w:val="23"/>
                <w:szCs w:val="23"/>
              </w:rPr>
            </w:pPr>
          </w:p>
        </w:tc>
        <w:tc>
          <w:tcPr>
            <w:tcW w:w="18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17" w:type="dxa"/>
            <w:vMerge w:val="restart"/>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5" w:hRule="atLeast"/>
          <w:jc w:val="center"/>
        </w:trPr>
        <w:tc>
          <w:tcPr>
            <w:tcW w:w="383" w:type="dxa"/>
            <w:vMerge w:val="continue"/>
            <w:tcBorders>
              <w:tl2br w:val="nil"/>
              <w:tr2bl w:val="nil"/>
            </w:tcBorders>
            <w:vAlign w:val="center"/>
          </w:tcPr>
          <w:p>
            <w:pPr>
              <w:spacing w:line="0" w:lineRule="atLeast"/>
              <w:jc w:val="center"/>
              <w:rPr>
                <w:rFonts w:hint="eastAsia" w:hAnsi="宋体"/>
                <w:spacing w:val="-10"/>
                <w:sz w:val="23"/>
                <w:szCs w:val="23"/>
              </w:rPr>
            </w:pP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生活垃圾</w:t>
            </w:r>
          </w:p>
        </w:tc>
        <w:tc>
          <w:tcPr>
            <w:tcW w:w="1884" w:type="dxa"/>
            <w:vMerge w:val="continue"/>
            <w:tcBorders>
              <w:tl2br w:val="nil"/>
              <w:tr2bl w:val="nil"/>
            </w:tcBorders>
            <w:vAlign w:val="center"/>
          </w:tcPr>
          <w:p>
            <w:pPr>
              <w:spacing w:line="0" w:lineRule="atLeast"/>
              <w:jc w:val="center"/>
              <w:rPr>
                <w:rFonts w:hint="eastAsia" w:hAnsi="宋体"/>
                <w:spacing w:val="-10"/>
                <w:sz w:val="23"/>
                <w:szCs w:val="23"/>
              </w:rPr>
            </w:pP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219" w:type="dxa"/>
            <w:vMerge w:val="continue"/>
            <w:tcBorders>
              <w:tl2br w:val="nil"/>
              <w:tr2bl w:val="nil"/>
            </w:tcBorders>
            <w:vAlign w:val="center"/>
          </w:tcPr>
          <w:p>
            <w:pPr>
              <w:spacing w:line="0" w:lineRule="atLeast"/>
              <w:jc w:val="center"/>
              <w:rPr>
                <w:rFonts w:hint="eastAsia" w:hAnsi="宋体"/>
                <w:spacing w:val="-10"/>
                <w:sz w:val="23"/>
                <w:szCs w:val="23"/>
              </w:rPr>
            </w:pPr>
          </w:p>
        </w:tc>
        <w:tc>
          <w:tcPr>
            <w:tcW w:w="18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17" w:type="dxa"/>
            <w:vMerge w:val="continue"/>
            <w:tcBorders>
              <w:tl2br w:val="nil"/>
              <w:tr2bl w:val="nil"/>
            </w:tcBorders>
            <w:vAlign w:val="center"/>
          </w:tcPr>
          <w:p>
            <w:pPr>
              <w:spacing w:line="0" w:lineRule="atLeast"/>
              <w:jc w:val="center"/>
              <w:rPr>
                <w:rFonts w:hint="eastAsia" w:hAnsi="宋体"/>
                <w:spacing w:val="-10"/>
                <w:sz w:val="23"/>
                <w:szCs w:val="2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383"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其他</w:t>
            </w:r>
          </w:p>
        </w:tc>
        <w:tc>
          <w:tcPr>
            <w:tcW w:w="113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沉淀池和循环水池</w:t>
            </w:r>
          </w:p>
        </w:tc>
        <w:tc>
          <w:tcPr>
            <w:tcW w:w="188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对沉淀池和循环水池池底和池壁进行防腐防渗处理</w:t>
            </w: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5</w:t>
            </w:r>
          </w:p>
        </w:tc>
        <w:tc>
          <w:tcPr>
            <w:tcW w:w="1219" w:type="dxa"/>
            <w:tcBorders>
              <w:tl2br w:val="nil"/>
              <w:tr2bl w:val="nil"/>
            </w:tcBorders>
            <w:vAlign w:val="center"/>
          </w:tcPr>
          <w:p>
            <w:pPr>
              <w:spacing w:line="0" w:lineRule="atLeast"/>
              <w:jc w:val="center"/>
              <w:rPr>
                <w:rFonts w:hint="eastAsia" w:hAnsi="宋体"/>
                <w:spacing w:val="-10"/>
                <w:sz w:val="23"/>
                <w:szCs w:val="23"/>
              </w:rPr>
            </w:pPr>
            <w:r>
              <w:rPr>
                <w:rFonts w:hint="eastAsia" w:hAnsi="宋体"/>
                <w:color w:val="000000"/>
                <w:spacing w:val="-10"/>
                <w:sz w:val="23"/>
                <w:szCs w:val="23"/>
              </w:rPr>
              <w:t>防渗层渗透系数小于1×10</w:t>
            </w:r>
            <w:r>
              <w:rPr>
                <w:rFonts w:hint="eastAsia" w:hAnsi="宋体"/>
                <w:color w:val="000000"/>
                <w:spacing w:val="-10"/>
                <w:sz w:val="23"/>
                <w:szCs w:val="23"/>
                <w:vertAlign w:val="superscript"/>
              </w:rPr>
              <w:t>-7</w:t>
            </w:r>
            <w:r>
              <w:rPr>
                <w:rFonts w:hint="eastAsia" w:hAnsi="宋体"/>
                <w:color w:val="000000"/>
                <w:spacing w:val="-10"/>
                <w:sz w:val="23"/>
                <w:szCs w:val="23"/>
              </w:rPr>
              <w:t>cm/s</w:t>
            </w:r>
          </w:p>
        </w:tc>
        <w:tc>
          <w:tcPr>
            <w:tcW w:w="18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17"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lang w:eastAsia="zh-CN"/>
              </w:rPr>
              <w:t>已做</w:t>
            </w:r>
            <w:r>
              <w:rPr>
                <w:rFonts w:hint="eastAsia" w:hAnsi="宋体"/>
                <w:spacing w:val="-10"/>
                <w:sz w:val="23"/>
                <w:szCs w:val="23"/>
              </w:rPr>
              <w:t>防腐防渗处理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1518" w:type="dxa"/>
            <w:gridSpan w:val="2"/>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合计</w:t>
            </w:r>
          </w:p>
        </w:tc>
        <w:tc>
          <w:tcPr>
            <w:tcW w:w="188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825"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28"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32.2</w:t>
            </w:r>
          </w:p>
        </w:tc>
        <w:tc>
          <w:tcPr>
            <w:tcW w:w="1219"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1894" w:type="dxa"/>
            <w:tcBorders>
              <w:tl2br w:val="nil"/>
              <w:tr2bl w:val="nil"/>
            </w:tcBorders>
            <w:vAlign w:val="center"/>
          </w:tcPr>
          <w:p>
            <w:pPr>
              <w:spacing w:line="0" w:lineRule="atLeast"/>
              <w:jc w:val="center"/>
              <w:rPr>
                <w:rFonts w:hint="eastAsia" w:hAnsi="宋体"/>
                <w:spacing w:val="-10"/>
                <w:sz w:val="23"/>
                <w:szCs w:val="23"/>
              </w:rPr>
            </w:pPr>
            <w:r>
              <w:rPr>
                <w:rFonts w:hint="eastAsia" w:hAnsi="宋体"/>
                <w:spacing w:val="-10"/>
                <w:sz w:val="23"/>
                <w:szCs w:val="23"/>
              </w:rPr>
              <w:t>—</w:t>
            </w:r>
          </w:p>
        </w:tc>
        <w:tc>
          <w:tcPr>
            <w:tcW w:w="917" w:type="dxa"/>
            <w:tcBorders>
              <w:tl2br w:val="nil"/>
              <w:tr2bl w:val="nil"/>
            </w:tcBorders>
            <w:vAlign w:val="center"/>
          </w:tcPr>
          <w:p>
            <w:pPr>
              <w:spacing w:line="0" w:lineRule="atLeast"/>
              <w:jc w:val="center"/>
              <w:rPr>
                <w:rFonts w:hint="eastAsia" w:hAnsi="宋体"/>
                <w:spacing w:val="-10"/>
                <w:sz w:val="23"/>
                <w:szCs w:val="23"/>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pPr>
      <w:bookmarkStart w:id="52" w:name="_Toc503884753"/>
      <w:r>
        <w:t xml:space="preserve">2.10 </w:t>
      </w:r>
      <w:r>
        <w:rPr>
          <w:rFonts w:hint="eastAsia"/>
        </w:rPr>
        <w:t>验收范围及内容</w:t>
      </w:r>
      <w:bookmarkEnd w:id="52"/>
    </w:p>
    <w:p>
      <w:pPr>
        <w:spacing w:line="440" w:lineRule="atLeast"/>
        <w:ind w:firstLine="480" w:firstLineChars="200"/>
        <w:rPr>
          <w:rFonts w:hint="eastAsia" w:ascii="宋体"/>
          <w:sz w:val="24"/>
          <w:szCs w:val="24"/>
        </w:rPr>
      </w:pPr>
      <w:r>
        <w:rPr>
          <w:rFonts w:hint="eastAsia" w:ascii="宋体"/>
          <w:sz w:val="24"/>
          <w:szCs w:val="24"/>
        </w:rPr>
        <w:t>项目</w:t>
      </w:r>
      <w:r>
        <w:rPr>
          <w:rFonts w:hint="eastAsia" w:ascii="宋体"/>
          <w:sz w:val="24"/>
          <w:szCs w:val="24"/>
          <w:lang w:eastAsia="zh-CN"/>
        </w:rPr>
        <w:t>位于</w:t>
      </w:r>
      <w:r>
        <w:rPr>
          <w:rFonts w:hint="eastAsia" w:ascii="宋体" w:hAnsi="宋体"/>
          <w:color w:val="000000"/>
          <w:sz w:val="24"/>
          <w:szCs w:val="24"/>
        </w:rPr>
        <w:t>唐山正元管业有限公司</w:t>
      </w:r>
      <w:r>
        <w:rPr>
          <w:rFonts w:hint="eastAsia" w:ascii="宋体"/>
          <w:sz w:val="24"/>
          <w:szCs w:val="24"/>
        </w:rPr>
        <w:t>现有厂区内</w:t>
      </w:r>
      <w:r>
        <w:rPr>
          <w:rFonts w:hint="eastAsia" w:ascii="宋体"/>
          <w:sz w:val="24"/>
          <w:szCs w:val="24"/>
          <w:lang w:eastAsia="zh-CN"/>
        </w:rPr>
        <w:t>，</w:t>
      </w:r>
      <w:r>
        <w:rPr>
          <w:rFonts w:hint="eastAsia" w:ascii="宋体"/>
          <w:sz w:val="24"/>
          <w:szCs w:val="24"/>
        </w:rPr>
        <w:t>建设1座焊管生产线车间和1座综合车间，占地面积12666.73m</w:t>
      </w:r>
      <w:r>
        <w:rPr>
          <w:rFonts w:hint="eastAsia" w:ascii="宋体"/>
          <w:sz w:val="24"/>
          <w:szCs w:val="24"/>
          <w:vertAlign w:val="superscript"/>
        </w:rPr>
        <w:t>2</w:t>
      </w:r>
      <w:r>
        <w:rPr>
          <w:rFonts w:hint="eastAsia" w:ascii="宋体"/>
          <w:sz w:val="24"/>
          <w:szCs w:val="24"/>
        </w:rPr>
        <w:t>。项目自北向南依次是焊管生产线车间和综合车间，在焊管生产线车间自北向南依次为2条60焊管机组生产线、1条重76焊管机组生产线、1条重114焊管机组生产线，综合车间自北向南依次分布水压试验机组和打包带线。</w:t>
      </w:r>
    </w:p>
    <w:p>
      <w:pPr>
        <w:spacing w:line="440" w:lineRule="atLeast"/>
        <w:ind w:firstLine="480" w:firstLineChars="200"/>
        <w:rPr>
          <w:rFonts w:ascii="宋体"/>
          <w:sz w:val="24"/>
          <w:szCs w:val="24"/>
        </w:rPr>
      </w:pPr>
      <w:r>
        <w:rPr>
          <w:rFonts w:hint="eastAsia" w:ascii="宋体" w:hAnsi="宋体"/>
          <w:sz w:val="24"/>
          <w:szCs w:val="24"/>
        </w:rPr>
        <w:t>环保设施已经建设完成工程有：</w:t>
      </w:r>
    </w:p>
    <w:p>
      <w:pPr>
        <w:spacing w:line="440" w:lineRule="atLeast"/>
        <w:ind w:firstLine="480" w:firstLineChars="200"/>
        <w:rPr>
          <w:rFonts w:ascii="宋体"/>
          <w:sz w:val="24"/>
          <w:szCs w:val="24"/>
        </w:rPr>
      </w:pPr>
      <w:r>
        <w:rPr>
          <w:rFonts w:hint="eastAsia" w:ascii="宋体" w:hAnsi="宋体"/>
          <w:sz w:val="24"/>
          <w:szCs w:val="24"/>
        </w:rPr>
        <w:t>①污水</w:t>
      </w:r>
      <w:r>
        <w:rPr>
          <w:rFonts w:hint="eastAsia" w:ascii="宋体" w:hAnsi="宋体"/>
          <w:sz w:val="24"/>
          <w:szCs w:val="24"/>
          <w:lang w:eastAsia="zh-CN"/>
        </w:rPr>
        <w:t>—食堂废水经厂区现有隔油池处理后和生活污水一起进入厂区现有化粪池处理</w:t>
      </w:r>
      <w:r>
        <w:rPr>
          <w:rFonts w:hint="eastAsia" w:ascii="宋体" w:hAnsi="宋体"/>
          <w:sz w:val="24"/>
          <w:szCs w:val="24"/>
        </w:rPr>
        <w:t>，为具体检测内容。</w:t>
      </w:r>
    </w:p>
    <w:p>
      <w:pPr>
        <w:spacing w:line="440" w:lineRule="atLeast"/>
        <w:ind w:firstLine="480" w:firstLineChars="200"/>
        <w:rPr>
          <w:rFonts w:ascii="宋体"/>
          <w:sz w:val="24"/>
          <w:szCs w:val="24"/>
        </w:rPr>
      </w:pPr>
      <w:r>
        <w:rPr>
          <w:rFonts w:hint="eastAsia" w:ascii="宋体" w:hAnsi="宋体"/>
          <w:sz w:val="24"/>
          <w:szCs w:val="24"/>
        </w:rPr>
        <w:t>②噪声</w:t>
      </w:r>
      <w:r>
        <w:rPr>
          <w:rFonts w:hint="eastAsia" w:ascii="宋体" w:hAnsi="宋体"/>
          <w:sz w:val="24"/>
          <w:szCs w:val="24"/>
          <w:lang w:eastAsia="zh-CN"/>
        </w:rPr>
        <w:t>—</w:t>
      </w:r>
      <w:r>
        <w:rPr>
          <w:rFonts w:hint="eastAsia" w:ascii="宋体" w:hAnsi="宋体"/>
          <w:sz w:val="24"/>
          <w:szCs w:val="24"/>
        </w:rPr>
        <w:t>工程厂界噪声，为具体检测内容。</w:t>
      </w:r>
    </w:p>
    <w:p>
      <w:pPr>
        <w:spacing w:line="440" w:lineRule="atLeast"/>
        <w:ind w:firstLine="480" w:firstLineChars="200"/>
        <w:rPr>
          <w:rFonts w:hint="eastAsia" w:ascii="宋体" w:hAnsi="宋体"/>
          <w:sz w:val="24"/>
          <w:szCs w:val="24"/>
        </w:rPr>
      </w:pPr>
      <w:r>
        <w:rPr>
          <w:rFonts w:hint="eastAsia" w:ascii="宋体" w:hAnsi="宋体"/>
          <w:sz w:val="24"/>
          <w:szCs w:val="24"/>
        </w:rPr>
        <w:t>③</w:t>
      </w:r>
      <w:r>
        <w:rPr>
          <w:rFonts w:hint="eastAsia" w:ascii="宋体" w:hAnsi="宋体"/>
          <w:sz w:val="24"/>
          <w:szCs w:val="24"/>
          <w:lang w:eastAsia="zh-CN"/>
        </w:rPr>
        <w:t>废气—</w:t>
      </w:r>
      <w:r>
        <w:rPr>
          <w:rFonts w:hint="eastAsia" w:hAnsi="宋体"/>
          <w:spacing w:val="-10"/>
          <w:sz w:val="23"/>
          <w:szCs w:val="23"/>
        </w:rPr>
        <w:t>焊管车间废气</w:t>
      </w:r>
      <w:r>
        <w:rPr>
          <w:rFonts w:hint="eastAsia" w:hAnsi="宋体"/>
          <w:spacing w:val="-10"/>
          <w:sz w:val="23"/>
          <w:szCs w:val="23"/>
          <w:lang w:eastAsia="zh-CN"/>
        </w:rPr>
        <w:t>经</w:t>
      </w:r>
      <w:r>
        <w:rPr>
          <w:rFonts w:hint="eastAsia" w:hAnsi="宋体"/>
          <w:spacing w:val="-10"/>
          <w:sz w:val="23"/>
          <w:szCs w:val="23"/>
        </w:rPr>
        <w:t>移动式焊烟净化</w:t>
      </w:r>
      <w:r>
        <w:rPr>
          <w:rFonts w:hint="eastAsia" w:hAnsi="宋体"/>
          <w:spacing w:val="-10"/>
          <w:sz w:val="23"/>
          <w:szCs w:val="23"/>
          <w:lang w:eastAsia="zh-CN"/>
        </w:rPr>
        <w:t>器处理后</w:t>
      </w:r>
      <w:r>
        <w:rPr>
          <w:rFonts w:hint="eastAsia" w:hAnsi="宋体"/>
          <w:spacing w:val="-10"/>
          <w:sz w:val="23"/>
          <w:szCs w:val="23"/>
        </w:rPr>
        <w:t>无组织</w:t>
      </w:r>
      <w:r>
        <w:rPr>
          <w:rFonts w:hint="eastAsia" w:hAnsi="宋体"/>
          <w:spacing w:val="-10"/>
          <w:sz w:val="23"/>
          <w:szCs w:val="23"/>
          <w:lang w:eastAsia="zh-CN"/>
        </w:rPr>
        <w:t>排放，</w:t>
      </w:r>
      <w:r>
        <w:rPr>
          <w:rFonts w:hint="eastAsia" w:ascii="宋体" w:hAnsi="宋体"/>
          <w:sz w:val="24"/>
          <w:szCs w:val="24"/>
        </w:rPr>
        <w:t>为具体检测内容。</w:t>
      </w:r>
    </w:p>
    <w:p>
      <w:pPr>
        <w:spacing w:line="440" w:lineRule="atLeast"/>
        <w:ind w:firstLine="480" w:firstLineChars="200"/>
        <w:rPr>
          <w:rFonts w:hint="eastAsia" w:ascii="宋体" w:hAnsi="宋体"/>
          <w:sz w:val="24"/>
          <w:szCs w:val="24"/>
        </w:rPr>
      </w:pPr>
      <w:r>
        <w:rPr>
          <w:rFonts w:hint="eastAsia" w:ascii="宋体" w:hAnsi="宋体"/>
          <w:sz w:val="24"/>
          <w:szCs w:val="24"/>
        </w:rPr>
        <w:t>④固体废物</w:t>
      </w:r>
      <w:r>
        <w:rPr>
          <w:rFonts w:hint="eastAsia" w:ascii="宋体" w:hAnsi="宋体"/>
          <w:sz w:val="24"/>
          <w:szCs w:val="24"/>
          <w:lang w:eastAsia="zh-CN"/>
        </w:rPr>
        <w:t>—</w:t>
      </w:r>
      <w:r>
        <w:rPr>
          <w:rFonts w:hint="eastAsia" w:ascii="宋体" w:hAnsi="宋体"/>
          <w:sz w:val="24"/>
          <w:szCs w:val="24"/>
        </w:rPr>
        <w:t>工程产生的固体废物为检查内容。</w:t>
      </w:r>
    </w:p>
    <w:p>
      <w:pPr>
        <w:spacing w:line="440" w:lineRule="atLeast"/>
        <w:ind w:firstLine="480" w:firstLineChars="200"/>
        <w:rPr>
          <w:rFonts w:ascii="宋体"/>
          <w:sz w:val="24"/>
          <w:szCs w:val="24"/>
        </w:rPr>
      </w:pPr>
      <w:r>
        <w:rPr>
          <w:rFonts w:hint="eastAsia" w:ascii="宋体" w:hAnsi="宋体"/>
          <w:sz w:val="24"/>
          <w:szCs w:val="24"/>
        </w:rPr>
        <w:t>⑤工程环评及环评批复落实情况、环保设施的建设运行情况、环保机构及规章制度建设情况等，为本工程验收报告的检查内容。</w:t>
      </w:r>
    </w:p>
    <w:p>
      <w:pPr>
        <w:pStyle w:val="3"/>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0"/>
      </w:pPr>
      <w:bookmarkStart w:id="53" w:name="_Toc503884754"/>
      <w:r>
        <w:br w:type="page"/>
      </w:r>
      <w:r>
        <w:t xml:space="preserve">3 </w:t>
      </w:r>
      <w:r>
        <w:rPr>
          <w:rFonts w:hint="eastAsia"/>
        </w:rPr>
        <w:t>主要污染源及治理措施</w:t>
      </w:r>
      <w:bookmarkEnd w:id="53"/>
    </w:p>
    <w:p>
      <w:pPr>
        <w:pStyle w:val="4"/>
      </w:pPr>
      <w:bookmarkStart w:id="54" w:name="_Toc503884755"/>
      <w:r>
        <w:t xml:space="preserve">3.1 </w:t>
      </w:r>
      <w:r>
        <w:rPr>
          <w:rFonts w:hint="eastAsia"/>
        </w:rPr>
        <w:t>施工期主要污染源及治理措施</w:t>
      </w:r>
      <w:bookmarkEnd w:id="54"/>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r>
        <w:rPr>
          <w:rFonts w:hint="eastAsia" w:ascii="宋体" w:hAnsi="宋体" w:eastAsia="宋体" w:cs="宋体"/>
          <w:sz w:val="24"/>
          <w:szCs w:val="24"/>
        </w:rPr>
        <w:t>施工期主要污染源包括噪声、大气、水环境、固体废物等，根据建设单位提供的施工总结报告，项目施工期间采用洒水抑尘、设置沉淀池、合理安排施工时间等措施，以减轻项目建设期对周边环境的影响。目前项目已建成运行，施工期环境污染已经不存在。</w:t>
      </w:r>
    </w:p>
    <w:p>
      <w:pPr>
        <w:pStyle w:val="4"/>
      </w:pPr>
      <w:bookmarkStart w:id="55" w:name="_Toc503884756"/>
      <w:r>
        <w:t xml:space="preserve">3.2 </w:t>
      </w:r>
      <w:r>
        <w:rPr>
          <w:rFonts w:hint="eastAsia"/>
        </w:rPr>
        <w:t>运行期主要污染源及治理措施</w:t>
      </w:r>
      <w:bookmarkEnd w:id="55"/>
    </w:p>
    <w:p>
      <w:pPr>
        <w:pStyle w:val="5"/>
        <w:spacing w:line="440" w:lineRule="atLeast"/>
      </w:pPr>
      <w:bookmarkStart w:id="56" w:name="_Toc503884757"/>
      <w:bookmarkStart w:id="57" w:name="_Toc497001461"/>
      <w:bookmarkStart w:id="58" w:name="_Toc496979024"/>
      <w:r>
        <w:t xml:space="preserve">3.2.1 </w:t>
      </w:r>
      <w:bookmarkEnd w:id="56"/>
      <w:bookmarkEnd w:id="57"/>
      <w:bookmarkEnd w:id="58"/>
      <w:r>
        <w:rPr>
          <w:rFonts w:hint="eastAsia"/>
          <w:lang w:eastAsia="zh-CN"/>
        </w:rPr>
        <w:t>废气</w:t>
      </w:r>
    </w:p>
    <w:p>
      <w:pPr>
        <w:spacing w:line="440" w:lineRule="atLeast"/>
        <w:ind w:firstLine="480" w:firstLineChars="200"/>
        <w:rPr>
          <w:rFonts w:ascii="宋体"/>
          <w:sz w:val="24"/>
          <w:szCs w:val="24"/>
        </w:rPr>
      </w:pPr>
      <w:r>
        <w:rPr>
          <w:rFonts w:hint="eastAsia" w:ascii="宋体"/>
          <w:sz w:val="24"/>
          <w:szCs w:val="24"/>
        </w:rPr>
        <w:t>在焊管车间带钢头尾剪切后需进行焊接处理，带钢头尾焊接过程中会产生一定量的焊烟，项目采用低焊烟的钛钙焊条，焊烟由固定在焊钳上的集气管收集，采用移动式焊烟净化机组净化后以无组织形式在车间排放。</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ascii="宋体"/>
          <w:sz w:val="24"/>
          <w:szCs w:val="24"/>
        </w:rPr>
      </w:pPr>
      <w:r>
        <w:rPr>
          <w:rFonts w:hint="eastAsia" w:ascii="宋体" w:hAnsi="宋体"/>
          <w:sz w:val="24"/>
          <w:szCs w:val="24"/>
        </w:rPr>
        <w:t>本项目</w:t>
      </w:r>
      <w:r>
        <w:rPr>
          <w:rFonts w:hint="eastAsia" w:ascii="宋体" w:hAnsi="宋体"/>
          <w:sz w:val="24"/>
          <w:szCs w:val="24"/>
          <w:lang w:eastAsia="zh-CN"/>
        </w:rPr>
        <w:t>废气治理</w:t>
      </w:r>
      <w:r>
        <w:rPr>
          <w:rFonts w:hint="eastAsia" w:ascii="宋体" w:hAnsi="宋体"/>
          <w:sz w:val="24"/>
          <w:szCs w:val="24"/>
        </w:rPr>
        <w:t>设施现场照片如下图</w:t>
      </w:r>
      <w:r>
        <w:rPr>
          <w:rFonts w:ascii="宋体" w:hAnsi="宋体"/>
          <w:sz w:val="24"/>
          <w:szCs w:val="24"/>
        </w:rPr>
        <w:t>3-</w:t>
      </w:r>
      <w:r>
        <w:rPr>
          <w:rFonts w:hint="eastAsia" w:ascii="宋体" w:hAnsi="宋体"/>
          <w:sz w:val="24"/>
          <w:szCs w:val="24"/>
          <w:lang w:val="en-US" w:eastAsia="zh-CN"/>
        </w:rPr>
        <w:t>1</w:t>
      </w:r>
      <w:r>
        <w:rPr>
          <w:rFonts w:hint="eastAsia" w:ascii="宋体" w:hAnsi="宋体"/>
          <w:sz w:val="24"/>
          <w:szCs w:val="24"/>
        </w:rPr>
        <w:t>所示：</w:t>
      </w:r>
    </w:p>
    <w:tbl>
      <w:tblPr>
        <w:tblStyle w:val="35"/>
        <w:tblW w:w="7537" w:type="dxa"/>
        <w:tblInd w:w="2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7"/>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97" w:type="dxa"/>
            <w:vAlign w:val="center"/>
          </w:tcPr>
          <w:p>
            <w:pPr>
              <w:spacing w:line="480" w:lineRule="atLeast"/>
              <w:jc w:val="center"/>
              <w:rPr>
                <w:rFonts w:hint="eastAsia" w:ascii="宋体" w:eastAsia="宋体"/>
                <w:sz w:val="24"/>
                <w:szCs w:val="24"/>
                <w:lang w:eastAsia="zh-CN"/>
              </w:rPr>
            </w:pPr>
            <w:r>
              <w:rPr>
                <w:rFonts w:hint="eastAsia" w:ascii="宋体" w:eastAsia="宋体"/>
                <w:sz w:val="24"/>
                <w:szCs w:val="24"/>
                <w:lang w:eastAsia="zh-CN"/>
              </w:rPr>
              <w:pict>
                <v:shape id="_x0000_i1026" o:spt="75" alt="824494849360522668" type="#_x0000_t75" style="height:138.7pt;width:119.55pt;" filled="f" o:preferrelative="t" stroked="f" coordsize="21600,21600">
                  <v:path/>
                  <v:fill on="f" focussize="0,0"/>
                  <v:stroke on="f"/>
                  <v:imagedata r:id="rId6" cropleft="1641f" croptop="13215f" cropright="17637f" cropbottom="19987f" o:title="824494849360522668"/>
                  <o:lock v:ext="edit" aspectratio="t"/>
                  <w10:wrap type="none"/>
                  <w10:anchorlock/>
                </v:shape>
              </w:pict>
            </w:r>
          </w:p>
        </w:tc>
        <w:tc>
          <w:tcPr>
            <w:tcW w:w="3840" w:type="dxa"/>
            <w:vAlign w:val="center"/>
          </w:tcPr>
          <w:p>
            <w:pPr>
              <w:spacing w:line="480" w:lineRule="atLeast"/>
              <w:jc w:val="center"/>
              <w:rPr>
                <w:rFonts w:ascii="宋体"/>
                <w:sz w:val="24"/>
                <w:szCs w:val="24"/>
              </w:rPr>
            </w:pPr>
            <w:r>
              <w:rPr>
                <w:rFonts w:hint="eastAsia" w:ascii="宋体" w:eastAsia="宋体"/>
                <w:sz w:val="24"/>
                <w:szCs w:val="24"/>
                <w:lang w:eastAsia="zh-CN"/>
              </w:rPr>
              <w:pict>
                <v:shape id="_x0000_i1027" o:spt="75" alt="824494849360522668" type="#_x0000_t75" style="height:143.45pt;width:135.5pt;" filled="f" o:preferrelative="t" stroked="f" coordsize="21600,21600">
                  <v:path/>
                  <v:fill on="f" focussize="0,0"/>
                  <v:stroke on="f"/>
                  <v:imagedata r:id="rId6" cropbottom="15675f" o:title="824494849360522668"/>
                  <o:lock v:ext="edit" aspectratio="t"/>
                  <w10:wrap type="none"/>
                  <w10:anchorlock/>
                </v:shape>
              </w:pict>
            </w:r>
          </w:p>
        </w:tc>
      </w:tr>
    </w:tbl>
    <w:p>
      <w:pPr>
        <w:spacing w:line="480" w:lineRule="atLeast"/>
        <w:jc w:val="center"/>
        <w:rPr>
          <w:rFonts w:ascii="宋体"/>
          <w:b/>
          <w:sz w:val="24"/>
          <w:szCs w:val="24"/>
        </w:rPr>
      </w:pPr>
      <w:r>
        <w:rPr>
          <w:rFonts w:hint="eastAsia" w:ascii="宋体" w:hAnsi="宋体"/>
          <w:b/>
          <w:sz w:val="24"/>
          <w:szCs w:val="24"/>
        </w:rPr>
        <w:t>图</w:t>
      </w:r>
      <w:r>
        <w:rPr>
          <w:rFonts w:ascii="宋体" w:hAnsi="宋体"/>
          <w:b/>
          <w:sz w:val="24"/>
          <w:szCs w:val="24"/>
        </w:rPr>
        <w:t>3-</w:t>
      </w:r>
      <w:r>
        <w:rPr>
          <w:rFonts w:hint="eastAsia" w:ascii="宋体" w:hAnsi="宋体"/>
          <w:b/>
          <w:sz w:val="24"/>
          <w:szCs w:val="24"/>
          <w:lang w:val="en-US" w:eastAsia="zh-CN"/>
        </w:rPr>
        <w:t>1</w:t>
      </w:r>
      <w:r>
        <w:rPr>
          <w:rFonts w:ascii="宋体" w:hAnsi="宋体"/>
          <w:b/>
          <w:sz w:val="24"/>
          <w:szCs w:val="24"/>
        </w:rPr>
        <w:t xml:space="preserve">  </w:t>
      </w:r>
      <w:r>
        <w:rPr>
          <w:rFonts w:hint="eastAsia" w:ascii="宋体" w:hAnsi="宋体"/>
          <w:b/>
          <w:sz w:val="24"/>
          <w:szCs w:val="24"/>
        </w:rPr>
        <w:t>废气治理设施现场照片</w:t>
      </w:r>
    </w:p>
    <w:p>
      <w:pPr>
        <w:pStyle w:val="5"/>
        <w:spacing w:line="440" w:lineRule="atLeast"/>
      </w:pPr>
      <w:bookmarkStart w:id="59" w:name="_Toc503884758"/>
      <w:bookmarkStart w:id="60" w:name="_Toc496979025"/>
      <w:bookmarkStart w:id="61" w:name="_Toc497001462"/>
      <w:r>
        <w:t xml:space="preserve">3.2.2 </w:t>
      </w:r>
      <w:bookmarkEnd w:id="59"/>
      <w:bookmarkEnd w:id="60"/>
      <w:bookmarkEnd w:id="61"/>
      <w:r>
        <w:rPr>
          <w:rFonts w:hint="eastAsia"/>
          <w:lang w:eastAsia="zh-CN"/>
        </w:rPr>
        <w:t>废水</w:t>
      </w:r>
    </w:p>
    <w:p>
      <w:pPr>
        <w:spacing w:line="480" w:lineRule="atLeast"/>
        <w:ind w:firstLine="480" w:firstLineChars="200"/>
        <w:rPr>
          <w:rFonts w:hint="eastAsia" w:ascii="宋体"/>
          <w:sz w:val="24"/>
          <w:szCs w:val="24"/>
        </w:rPr>
      </w:pPr>
      <w:r>
        <w:rPr>
          <w:rFonts w:hint="eastAsia" w:ascii="宋体"/>
          <w:sz w:val="24"/>
          <w:szCs w:val="24"/>
        </w:rPr>
        <w:t>本项目带钢冲洗系统排污水经沉淀池去除氧化铁皮后返回冲洗系统循环利用，不外排。冷却及水压系统排污水经沉淀池+带式除油机处理去除氧化铁皮和油类后，送冷却塔降温，然后返回冷却及水压系统循环利用，不外排。食堂废水经厂区现有隔油池处理后和生活污水一起进入厂区现有化粪池处理，处理后经开发区污水管网排入丰南区城南污水处理厂处理。</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ascii="宋体"/>
          <w:sz w:val="24"/>
          <w:szCs w:val="24"/>
        </w:rPr>
      </w:pPr>
      <w:r>
        <w:rPr>
          <w:rFonts w:hint="eastAsia" w:ascii="宋体" w:hAnsi="宋体"/>
          <w:sz w:val="24"/>
          <w:szCs w:val="24"/>
        </w:rPr>
        <w:br w:type="page"/>
      </w:r>
      <w:r>
        <w:rPr>
          <w:rFonts w:hint="eastAsia" w:ascii="宋体" w:hAnsi="宋体"/>
          <w:sz w:val="24"/>
          <w:szCs w:val="24"/>
        </w:rPr>
        <w:t>本项目废水</w:t>
      </w:r>
      <w:r>
        <w:rPr>
          <w:rFonts w:hint="eastAsia" w:ascii="宋体" w:hAnsi="宋体"/>
          <w:sz w:val="24"/>
          <w:szCs w:val="24"/>
          <w:lang w:eastAsia="zh-CN"/>
        </w:rPr>
        <w:t>治理</w:t>
      </w:r>
      <w:r>
        <w:rPr>
          <w:rFonts w:hint="eastAsia" w:ascii="宋体" w:hAnsi="宋体"/>
          <w:sz w:val="24"/>
          <w:szCs w:val="24"/>
        </w:rPr>
        <w:t>设施现场照片如下图</w:t>
      </w:r>
      <w:r>
        <w:rPr>
          <w:rFonts w:ascii="宋体" w:hAnsi="宋体"/>
          <w:sz w:val="24"/>
          <w:szCs w:val="24"/>
        </w:rPr>
        <w:t>3-</w:t>
      </w:r>
      <w:r>
        <w:rPr>
          <w:rFonts w:hint="eastAsia" w:ascii="宋体" w:hAnsi="宋体"/>
          <w:sz w:val="24"/>
          <w:szCs w:val="24"/>
          <w:lang w:val="en-US" w:eastAsia="zh-CN"/>
        </w:rPr>
        <w:t>2</w:t>
      </w:r>
      <w:r>
        <w:rPr>
          <w:rFonts w:hint="eastAsia" w:ascii="宋体" w:hAnsi="宋体"/>
          <w:sz w:val="24"/>
          <w:szCs w:val="24"/>
        </w:rPr>
        <w:t>所示：</w:t>
      </w:r>
    </w:p>
    <w:tbl>
      <w:tblPr>
        <w:tblStyle w:val="35"/>
        <w:tblW w:w="7537" w:type="dxa"/>
        <w:tblInd w:w="2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7"/>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697" w:type="dxa"/>
            <w:vAlign w:val="center"/>
          </w:tcPr>
          <w:p>
            <w:pPr>
              <w:spacing w:line="480" w:lineRule="atLeast"/>
              <w:jc w:val="center"/>
              <w:rPr>
                <w:rFonts w:hint="eastAsia" w:ascii="宋体" w:eastAsia="宋体"/>
                <w:sz w:val="24"/>
                <w:szCs w:val="24"/>
                <w:lang w:eastAsia="zh-CN"/>
              </w:rPr>
            </w:pPr>
            <w:r>
              <w:pict>
                <v:shape id="_x0000_i1028" o:spt="75" type="#_x0000_t75" style="height:140pt;width:131.8pt;" filled="f" o:preferrelative="t" stroked="f" coordsize="21600,21600">
                  <v:path/>
                  <v:fill on="f" focussize="0,0"/>
                  <v:stroke on="f"/>
                  <v:imagedata r:id="rId7" o:title=""/>
                  <o:lock v:ext="edit" aspectratio="t"/>
                  <w10:wrap type="none"/>
                  <w10:anchorlock/>
                </v:shape>
              </w:pict>
            </w:r>
          </w:p>
        </w:tc>
        <w:tc>
          <w:tcPr>
            <w:tcW w:w="3840" w:type="dxa"/>
            <w:vAlign w:val="center"/>
          </w:tcPr>
          <w:p>
            <w:pPr>
              <w:spacing w:line="480" w:lineRule="atLeast"/>
              <w:jc w:val="center"/>
              <w:rPr>
                <w:rFonts w:ascii="宋体"/>
                <w:sz w:val="24"/>
                <w:szCs w:val="24"/>
              </w:rPr>
            </w:pPr>
            <w:r>
              <w:pict>
                <v:shape id="_x0000_i1029" o:spt="75" type="#_x0000_t75" style="height:141.75pt;width:135.2pt;" filled="f" o:preferrelative="t" stroked="f" coordsize="21600,21600">
                  <v:path/>
                  <v:fill on="f" focussize="0,0"/>
                  <v:stroke on="f"/>
                  <v:imagedata r:id="rId8" o:title=""/>
                  <o:lock v:ext="edit" aspectratio="t"/>
                  <w10:wrap type="none"/>
                  <w10:anchorlock/>
                </v:shape>
              </w:pic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center"/>
        <w:textAlignment w:val="auto"/>
        <w:outlineLvl w:val="9"/>
        <w:rPr>
          <w:rFonts w:hint="eastAsia" w:ascii="宋体"/>
          <w:sz w:val="24"/>
          <w:szCs w:val="24"/>
        </w:rPr>
      </w:pPr>
      <w:r>
        <w:rPr>
          <w:rFonts w:hint="eastAsia" w:ascii="宋体" w:hAnsi="宋体"/>
          <w:b/>
          <w:sz w:val="24"/>
          <w:szCs w:val="24"/>
        </w:rPr>
        <w:t>图</w:t>
      </w:r>
      <w:r>
        <w:rPr>
          <w:rFonts w:ascii="宋体" w:hAnsi="宋体"/>
          <w:b/>
          <w:sz w:val="24"/>
          <w:szCs w:val="24"/>
        </w:rPr>
        <w:t xml:space="preserve">3-2  </w:t>
      </w:r>
      <w:r>
        <w:rPr>
          <w:rFonts w:hint="eastAsia" w:ascii="宋体" w:hAnsi="宋体"/>
          <w:b/>
          <w:sz w:val="24"/>
          <w:szCs w:val="24"/>
        </w:rPr>
        <w:t>废水治理设施现场照片</w:t>
      </w:r>
    </w:p>
    <w:p>
      <w:pPr>
        <w:pStyle w:val="5"/>
      </w:pPr>
      <w:bookmarkStart w:id="62" w:name="_Toc497001463"/>
      <w:bookmarkStart w:id="63" w:name="_Toc503884759"/>
      <w:bookmarkStart w:id="64" w:name="_Toc496979026"/>
      <w:r>
        <w:t xml:space="preserve">3.2.3 </w:t>
      </w:r>
      <w:r>
        <w:rPr>
          <w:rFonts w:hint="eastAsia"/>
        </w:rPr>
        <w:t>噪声</w:t>
      </w:r>
      <w:bookmarkEnd w:id="62"/>
      <w:bookmarkEnd w:id="63"/>
      <w:bookmarkEnd w:id="64"/>
    </w:p>
    <w:p>
      <w:pPr>
        <w:pStyle w:val="66"/>
        <w:adjustRightInd w:val="0"/>
        <w:snapToGrid w:val="0"/>
        <w:spacing w:line="460" w:lineRule="atLeast"/>
        <w:ind w:firstLine="480" w:firstLineChars="200"/>
        <w:rPr>
          <w:rFonts w:ascii="宋体"/>
          <w:spacing w:val="0"/>
          <w:sz w:val="24"/>
          <w:szCs w:val="24"/>
        </w:rPr>
      </w:pPr>
      <w:bookmarkStart w:id="65" w:name="_Toc496979027"/>
      <w:r>
        <w:rPr>
          <w:rFonts w:hint="eastAsia" w:ascii="宋体" w:hAnsi="宋体"/>
          <w:spacing w:val="0"/>
          <w:sz w:val="24"/>
          <w:szCs w:val="24"/>
        </w:rPr>
        <w:t>项目产噪声源主要为开卷机、矫平机、纵剪机、剪切对焊机、成型机、固态高频焊机、定径机、矫直机、飞锯机、平头倒棱机、打包机、辊道、开管机、包带成型机、水泵、冷却塔和焊管落料噪声等，其噪声值为75～100dB(A)。项目</w:t>
      </w:r>
      <w:r>
        <w:rPr>
          <w:rFonts w:hint="eastAsia" w:ascii="宋体" w:hAnsi="宋体"/>
          <w:spacing w:val="0"/>
          <w:sz w:val="24"/>
          <w:szCs w:val="24"/>
          <w:lang w:eastAsia="zh-CN"/>
        </w:rPr>
        <w:t>通过选用低噪声设备，</w:t>
      </w:r>
      <w:r>
        <w:rPr>
          <w:rFonts w:hint="eastAsia" w:ascii="宋体" w:hAnsi="宋体"/>
          <w:spacing w:val="0"/>
          <w:sz w:val="24"/>
          <w:szCs w:val="24"/>
        </w:rPr>
        <w:t>对机械设备运转过程产生机械噪声均采用厂房隔声降噪</w:t>
      </w:r>
      <w:r>
        <w:rPr>
          <w:rFonts w:hint="eastAsia" w:ascii="宋体" w:hAnsi="宋体"/>
          <w:spacing w:val="0"/>
          <w:sz w:val="24"/>
          <w:szCs w:val="24"/>
          <w:lang w:eastAsia="zh-CN"/>
        </w:rPr>
        <w:t>并加装减振基础，经距离衰减后进入周边环境</w:t>
      </w:r>
      <w:r>
        <w:rPr>
          <w:rFonts w:hint="eastAsia" w:ascii="宋体" w:hAnsi="宋体"/>
          <w:spacing w:val="0"/>
          <w:sz w:val="24"/>
          <w:szCs w:val="24"/>
        </w:rPr>
        <w:t>。</w:t>
      </w:r>
    </w:p>
    <w:p>
      <w:pPr>
        <w:pStyle w:val="5"/>
      </w:pPr>
      <w:bookmarkStart w:id="66" w:name="_Toc497001464"/>
      <w:bookmarkStart w:id="67" w:name="_Toc503884760"/>
      <w:r>
        <w:t xml:space="preserve">3.2.4 </w:t>
      </w:r>
      <w:r>
        <w:rPr>
          <w:rFonts w:hint="eastAsia"/>
        </w:rPr>
        <w:t>固体废物</w:t>
      </w:r>
      <w:bookmarkEnd w:id="65"/>
      <w:bookmarkEnd w:id="66"/>
      <w:bookmarkEnd w:id="67"/>
    </w:p>
    <w:p>
      <w:pPr>
        <w:pStyle w:val="87"/>
        <w:spacing w:line="480" w:lineRule="atLeast"/>
        <w:ind w:firstLine="480" w:firstLineChars="200"/>
        <w:jc w:val="both"/>
        <w:rPr>
          <w:rFonts w:hint="eastAsia"/>
          <w:color w:val="auto"/>
        </w:rPr>
      </w:pPr>
      <w:bookmarkStart w:id="68" w:name="_Hlk496988018"/>
      <w:r>
        <w:rPr>
          <w:rFonts w:hint="eastAsia"/>
          <w:color w:val="auto"/>
        </w:rPr>
        <w:t>本项目固体废物主要为</w:t>
      </w:r>
      <w:r>
        <w:rPr>
          <w:rFonts w:hint="eastAsia" w:hAnsi="宋体"/>
        </w:rPr>
        <w:t>金属废料、焊渣、毛刺废渣、氧化铁皮、毛刺</w:t>
      </w:r>
      <w:r>
        <w:rPr>
          <w:rFonts w:hint="eastAsia" w:hAnsi="宋体"/>
          <w:lang w:eastAsia="zh-CN"/>
        </w:rPr>
        <w:t>、废油及生活垃圾。</w:t>
      </w:r>
    </w:p>
    <w:p>
      <w:pPr>
        <w:pStyle w:val="87"/>
        <w:spacing w:line="480" w:lineRule="atLeast"/>
        <w:ind w:firstLine="480" w:firstLineChars="200"/>
        <w:jc w:val="both"/>
        <w:rPr>
          <w:rFonts w:hint="eastAsia" w:hAnsi="宋体"/>
        </w:rPr>
      </w:pPr>
      <w:r>
        <w:rPr>
          <w:rFonts w:hint="eastAsia" w:hAnsi="宋体"/>
        </w:rPr>
        <w:t>金属废料、焊渣、毛刺废渣、氧化铁皮、毛刺全部外售钢铁企业用作生产原料</w:t>
      </w:r>
      <w:r>
        <w:rPr>
          <w:rFonts w:hint="eastAsia" w:hAnsi="宋体"/>
          <w:lang w:eastAsia="zh-CN"/>
        </w:rPr>
        <w:t>；</w:t>
      </w:r>
      <w:r>
        <w:rPr>
          <w:rFonts w:hint="eastAsia" w:hAnsi="宋体"/>
        </w:rPr>
        <w:t>焊条头和生活垃圾由环卫部门收集后送指定地点填埋</w:t>
      </w:r>
      <w:r>
        <w:rPr>
          <w:rFonts w:hint="eastAsia" w:hAnsi="宋体"/>
          <w:lang w:eastAsia="zh-CN"/>
        </w:rPr>
        <w:t>；</w:t>
      </w:r>
      <w:r>
        <w:rPr>
          <w:rFonts w:hint="eastAsia" w:hAnsi="宋体"/>
        </w:rPr>
        <w:t>废油经桶装收集后暂存于现有废油暂存间，定期送唐山优艺胜星再生资源有限公司处置。</w:t>
      </w:r>
    </w:p>
    <w:bookmarkEnd w:id="68"/>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ascii="宋体"/>
          <w:sz w:val="24"/>
          <w:szCs w:val="24"/>
        </w:rPr>
      </w:pPr>
      <w:bookmarkStart w:id="69" w:name="_Toc503884761"/>
      <w:r>
        <w:rPr>
          <w:rFonts w:hint="eastAsia" w:ascii="宋体" w:hAnsi="宋体"/>
          <w:sz w:val="24"/>
          <w:szCs w:val="24"/>
        </w:rPr>
        <w:t>本项目</w:t>
      </w:r>
      <w:r>
        <w:rPr>
          <w:rFonts w:hint="eastAsia" w:ascii="宋体" w:hAnsi="宋体"/>
          <w:sz w:val="24"/>
          <w:szCs w:val="24"/>
          <w:lang w:eastAsia="zh-CN"/>
        </w:rPr>
        <w:t>危废间</w:t>
      </w:r>
      <w:r>
        <w:rPr>
          <w:rFonts w:hint="eastAsia" w:ascii="宋体" w:hAnsi="宋体"/>
          <w:sz w:val="24"/>
          <w:szCs w:val="24"/>
        </w:rPr>
        <w:t>现场照片如下图</w:t>
      </w:r>
      <w:r>
        <w:rPr>
          <w:rFonts w:ascii="宋体" w:hAnsi="宋体"/>
          <w:sz w:val="24"/>
          <w:szCs w:val="24"/>
        </w:rPr>
        <w:t>3-</w:t>
      </w:r>
      <w:r>
        <w:rPr>
          <w:rFonts w:hint="eastAsia" w:ascii="宋体" w:hAnsi="宋体"/>
          <w:sz w:val="24"/>
          <w:szCs w:val="24"/>
          <w:lang w:val="en-US" w:eastAsia="zh-CN"/>
        </w:rPr>
        <w:t>3</w:t>
      </w:r>
      <w:r>
        <w:rPr>
          <w:rFonts w:hint="eastAsia" w:ascii="宋体" w:hAnsi="宋体"/>
          <w:sz w:val="24"/>
          <w:szCs w:val="24"/>
        </w:rPr>
        <w:t>所示：</w:t>
      </w:r>
    </w:p>
    <w:tbl>
      <w:tblPr>
        <w:tblStyle w:val="35"/>
        <w:tblW w:w="7537" w:type="dxa"/>
        <w:tblInd w:w="2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7"/>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2" w:hRule="atLeast"/>
        </w:trPr>
        <w:tc>
          <w:tcPr>
            <w:tcW w:w="3697" w:type="dxa"/>
            <w:vAlign w:val="center"/>
          </w:tcPr>
          <w:p>
            <w:pPr>
              <w:spacing w:line="480" w:lineRule="atLeast"/>
              <w:jc w:val="center"/>
              <w:rPr>
                <w:rFonts w:hint="eastAsia" w:ascii="宋体" w:eastAsia="宋体"/>
                <w:sz w:val="24"/>
                <w:szCs w:val="24"/>
                <w:lang w:eastAsia="zh-CN"/>
              </w:rPr>
            </w:pPr>
            <w:r>
              <w:pict>
                <v:shape id="_x0000_i1030" o:spt="75" type="#_x0000_t75" style="height:121.6pt;width:167.5pt;" filled="f" o:preferrelative="t" stroked="f" coordsize="21600,21600">
                  <v:path/>
                  <v:fill on="f" focussize="0,0"/>
                  <v:stroke on="f"/>
                  <v:imagedata r:id="rId9" o:title=""/>
                  <o:lock v:ext="edit" aspectratio="t"/>
                  <w10:wrap type="none"/>
                  <w10:anchorlock/>
                </v:shape>
              </w:pict>
            </w:r>
          </w:p>
        </w:tc>
        <w:tc>
          <w:tcPr>
            <w:tcW w:w="3840" w:type="dxa"/>
            <w:vAlign w:val="center"/>
          </w:tcPr>
          <w:p>
            <w:pPr>
              <w:spacing w:line="480" w:lineRule="atLeast"/>
              <w:jc w:val="center"/>
              <w:rPr>
                <w:rFonts w:ascii="宋体"/>
                <w:sz w:val="24"/>
                <w:szCs w:val="24"/>
              </w:rPr>
            </w:pPr>
            <w:r>
              <w:pict>
                <v:shape id="_x0000_i1031" o:spt="75" type="#_x0000_t75" style="height:120.4pt;width:175.15pt;" filled="f" o:preferrelative="t" stroked="f" coordsize="21600,21600">
                  <v:path/>
                  <v:fill on="f" focussize="0,0"/>
                  <v:stroke on="f"/>
                  <v:imagedata r:id="rId10" o:title=""/>
                  <o:lock v:ext="edit" aspectratio="t"/>
                  <w10:wrap type="none"/>
                  <w10:anchorlock/>
                </v:shape>
              </w:pict>
            </w:r>
          </w:p>
        </w:tc>
      </w:tr>
    </w:tbl>
    <w:p>
      <w:pPr>
        <w:pStyle w:val="3"/>
        <w:jc w:val="center"/>
        <w:rPr>
          <w:rFonts w:hint="eastAsia" w:ascii="宋体" w:hAnsi="宋体"/>
          <w:b/>
          <w:sz w:val="24"/>
          <w:szCs w:val="24"/>
        </w:rPr>
      </w:pPr>
      <w:r>
        <w:rPr>
          <w:rFonts w:hint="eastAsia" w:ascii="宋体" w:hAnsi="宋体"/>
          <w:b/>
          <w:sz w:val="24"/>
          <w:szCs w:val="24"/>
        </w:rPr>
        <w:t>图</w:t>
      </w:r>
      <w:r>
        <w:rPr>
          <w:rFonts w:ascii="宋体" w:hAnsi="宋体"/>
          <w:b/>
          <w:sz w:val="24"/>
          <w:szCs w:val="24"/>
        </w:rPr>
        <w:t>3-</w:t>
      </w:r>
      <w:r>
        <w:rPr>
          <w:rFonts w:hint="eastAsia"/>
          <w:b/>
          <w:sz w:val="24"/>
          <w:szCs w:val="24"/>
          <w:lang w:val="en-US" w:eastAsia="zh-CN"/>
        </w:rPr>
        <w:t>3</w:t>
      </w:r>
      <w:r>
        <w:rPr>
          <w:rFonts w:ascii="宋体" w:hAnsi="宋体"/>
          <w:b/>
          <w:sz w:val="24"/>
          <w:szCs w:val="24"/>
        </w:rPr>
        <w:t xml:space="preserve">  </w:t>
      </w:r>
      <w:r>
        <w:rPr>
          <w:rFonts w:hint="eastAsia"/>
          <w:b/>
          <w:sz w:val="24"/>
          <w:szCs w:val="24"/>
          <w:lang w:eastAsia="zh-CN"/>
        </w:rPr>
        <w:t>危废间</w:t>
      </w:r>
      <w:r>
        <w:rPr>
          <w:rFonts w:hint="eastAsia" w:ascii="宋体" w:hAnsi="宋体"/>
          <w:b/>
          <w:sz w:val="24"/>
          <w:szCs w:val="24"/>
        </w:rPr>
        <w:t>现场照片</w:t>
      </w:r>
    </w:p>
    <w:p>
      <w:pPr>
        <w:pStyle w:val="3"/>
        <w:jc w:val="both"/>
      </w:pPr>
      <w:r>
        <w:rPr>
          <w:rFonts w:hint="eastAsia" w:ascii="宋体" w:hAnsi="宋体"/>
          <w:b/>
          <w:sz w:val="24"/>
          <w:szCs w:val="24"/>
        </w:rPr>
        <w:br w:type="page"/>
      </w:r>
      <w:r>
        <w:t xml:space="preserve">4 </w:t>
      </w:r>
      <w:r>
        <w:rPr>
          <w:rFonts w:hint="eastAsia"/>
        </w:rPr>
        <w:t>环评主要结论及环评批复要求</w:t>
      </w:r>
      <w:bookmarkEnd w:id="69"/>
    </w:p>
    <w:p>
      <w:pPr>
        <w:pStyle w:val="4"/>
        <w:rPr>
          <w:sz w:val="24"/>
          <w:szCs w:val="24"/>
        </w:rPr>
      </w:pPr>
      <w:bookmarkStart w:id="70" w:name="_Toc503884762"/>
      <w:r>
        <w:rPr>
          <w:sz w:val="24"/>
          <w:szCs w:val="24"/>
        </w:rPr>
        <w:t xml:space="preserve">4.1 </w:t>
      </w:r>
      <w:r>
        <w:rPr>
          <w:rFonts w:hint="eastAsia"/>
          <w:sz w:val="24"/>
          <w:szCs w:val="24"/>
        </w:rPr>
        <w:t>建设项目环评报告表的主要结论与建议</w:t>
      </w:r>
      <w:bookmarkEnd w:id="70"/>
    </w:p>
    <w:p>
      <w:pPr>
        <w:pStyle w:val="5"/>
        <w:spacing w:line="440" w:lineRule="atLeast"/>
      </w:pPr>
      <w:bookmarkStart w:id="71" w:name="_Toc503884763"/>
      <w:bookmarkStart w:id="72" w:name="_Toc497001467"/>
      <w:bookmarkStart w:id="73" w:name="_Toc496979030"/>
      <w:r>
        <w:t xml:space="preserve">4.1.1 </w:t>
      </w:r>
      <w:r>
        <w:rPr>
          <w:rFonts w:hint="eastAsia"/>
        </w:rPr>
        <w:t>主要结论</w:t>
      </w:r>
      <w:bookmarkEnd w:id="71"/>
      <w:bookmarkEnd w:id="72"/>
      <w:bookmarkEnd w:id="7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9" w:firstLineChars="203"/>
        <w:jc w:val="both"/>
        <w:textAlignment w:val="auto"/>
        <w:outlineLvl w:val="9"/>
        <w:rPr>
          <w:rFonts w:hint="eastAsia" w:hAnsi="宋体"/>
          <w:b/>
          <w:bCs/>
          <w:sz w:val="24"/>
          <w:szCs w:val="24"/>
          <w:lang w:eastAsia="zh-CN"/>
        </w:rPr>
      </w:pPr>
      <w:r>
        <w:rPr>
          <w:rFonts w:ascii="宋体" w:hAnsi="宋体"/>
          <w:b/>
          <w:bCs/>
          <w:sz w:val="24"/>
          <w:szCs w:val="24"/>
        </w:rPr>
        <w:t>1</w:t>
      </w:r>
      <w:r>
        <w:rPr>
          <w:rFonts w:hint="eastAsia" w:ascii="宋体" w:hAnsi="宋体"/>
          <w:b/>
          <w:bCs/>
          <w:sz w:val="24"/>
          <w:szCs w:val="24"/>
        </w:rPr>
        <w:t>、</w:t>
      </w:r>
      <w:r>
        <w:rPr>
          <w:rFonts w:hint="eastAsia" w:ascii="宋体" w:hAnsi="宋体"/>
          <w:b/>
          <w:bCs/>
          <w:sz w:val="24"/>
          <w:szCs w:val="24"/>
          <w:lang w:eastAsia="zh-CN"/>
        </w:rPr>
        <w:t>区域</w:t>
      </w:r>
      <w:r>
        <w:rPr>
          <w:rFonts w:hint="eastAsia" w:hAnsi="宋体"/>
          <w:b/>
          <w:bCs/>
          <w:sz w:val="24"/>
          <w:szCs w:val="24"/>
        </w:rPr>
        <w:t>环境质量现状</w:t>
      </w:r>
      <w:r>
        <w:rPr>
          <w:rFonts w:hint="eastAsia" w:hAnsi="宋体"/>
          <w:b/>
          <w:bCs/>
          <w:sz w:val="24"/>
          <w:szCs w:val="24"/>
          <w:lang w:eastAsia="zh-CN"/>
        </w:rPr>
        <w:t>及主要环境问题</w:t>
      </w:r>
    </w:p>
    <w:p>
      <w:pPr>
        <w:pStyle w:val="2"/>
        <w:rPr>
          <w:rFonts w:hint="eastAsia"/>
        </w:rPr>
      </w:pPr>
      <w:r>
        <w:rPr>
          <w:rFonts w:hint="eastAsia" w:hAnsi="宋体"/>
          <w:b/>
          <w:bCs/>
          <w:sz w:val="24"/>
          <w:szCs w:val="24"/>
          <w:lang w:eastAsia="zh-CN"/>
        </w:rPr>
        <w:t>（</w:t>
      </w:r>
      <w:r>
        <w:rPr>
          <w:rFonts w:hint="eastAsia" w:hAnsi="宋体"/>
          <w:b/>
          <w:bCs/>
          <w:sz w:val="24"/>
          <w:szCs w:val="24"/>
          <w:lang w:val="en-US" w:eastAsia="zh-CN"/>
        </w:rPr>
        <w:t>1</w:t>
      </w:r>
      <w:r>
        <w:rPr>
          <w:rFonts w:hint="eastAsia" w:hAnsi="宋体"/>
          <w:b/>
          <w:bCs/>
          <w:sz w:val="24"/>
          <w:szCs w:val="24"/>
          <w:lang w:eastAsia="zh-CN"/>
        </w:rPr>
        <w:t>）环境质量现状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sz w:val="24"/>
          <w:szCs w:val="24"/>
        </w:rPr>
        <w:t>环境空气：根据谱尼测试科技股份有限公司2015年7月4日至7月10日对正元公司东北侧戟门村和南侧毕家西村环境空气质量的现状监测结果，项目所在区域</w:t>
      </w:r>
      <w:r>
        <w:rPr>
          <w:rFonts w:hint="eastAsia" w:hAnsi="宋体"/>
          <w:spacing w:val="7"/>
          <w:sz w:val="24"/>
          <w:szCs w:val="24"/>
        </w:rPr>
        <w:t>TSP、PM</w:t>
      </w:r>
      <w:r>
        <w:rPr>
          <w:rFonts w:hint="eastAsia" w:hAnsi="宋体"/>
          <w:spacing w:val="7"/>
          <w:sz w:val="24"/>
          <w:szCs w:val="24"/>
          <w:vertAlign w:val="subscript"/>
        </w:rPr>
        <w:t>10</w:t>
      </w:r>
      <w:r>
        <w:rPr>
          <w:rFonts w:hint="eastAsia" w:hAnsi="宋体"/>
          <w:spacing w:val="7"/>
          <w:sz w:val="24"/>
          <w:szCs w:val="24"/>
        </w:rPr>
        <w:t>、</w:t>
      </w:r>
      <w:r>
        <w:rPr>
          <w:rFonts w:hAnsi="宋体"/>
          <w:spacing w:val="7"/>
          <w:sz w:val="24"/>
          <w:szCs w:val="24"/>
        </w:rPr>
        <w:t>PM</w:t>
      </w:r>
      <w:r>
        <w:rPr>
          <w:rFonts w:hAnsi="宋体"/>
          <w:spacing w:val="7"/>
          <w:sz w:val="24"/>
          <w:szCs w:val="24"/>
          <w:vertAlign w:val="subscript"/>
        </w:rPr>
        <w:t>2.5</w:t>
      </w:r>
      <w:r>
        <w:rPr>
          <w:rFonts w:hAnsi="宋体"/>
          <w:spacing w:val="7"/>
          <w:sz w:val="24"/>
          <w:szCs w:val="24"/>
        </w:rPr>
        <w:t>24</w:t>
      </w:r>
      <w:r>
        <w:rPr>
          <w:rFonts w:hint="eastAsia" w:hAnsi="宋体"/>
          <w:spacing w:val="7"/>
          <w:sz w:val="24"/>
          <w:szCs w:val="24"/>
        </w:rPr>
        <w:t>小时平均</w:t>
      </w:r>
      <w:r>
        <w:rPr>
          <w:rFonts w:hAnsi="宋体"/>
          <w:spacing w:val="7"/>
          <w:sz w:val="24"/>
          <w:szCs w:val="24"/>
        </w:rPr>
        <w:t>浓</w:t>
      </w:r>
      <w:r>
        <w:rPr>
          <w:rFonts w:hint="eastAsia" w:hAnsi="宋体"/>
          <w:spacing w:val="7"/>
          <w:sz w:val="24"/>
          <w:szCs w:val="24"/>
        </w:rPr>
        <w:t>度，二氧化硫、二氧化氮、一氧化碳</w:t>
      </w:r>
      <w:r>
        <w:rPr>
          <w:rFonts w:hAnsi="宋体"/>
          <w:spacing w:val="7"/>
          <w:sz w:val="24"/>
          <w:szCs w:val="24"/>
        </w:rPr>
        <w:t>24</w:t>
      </w:r>
      <w:r>
        <w:rPr>
          <w:rFonts w:hint="eastAsia" w:hAnsi="宋体"/>
          <w:spacing w:val="7"/>
          <w:sz w:val="24"/>
          <w:szCs w:val="24"/>
        </w:rPr>
        <w:t>小时平均</w:t>
      </w:r>
      <w:r>
        <w:rPr>
          <w:rFonts w:hAnsi="宋体"/>
          <w:spacing w:val="7"/>
          <w:sz w:val="24"/>
          <w:szCs w:val="24"/>
        </w:rPr>
        <w:t>浓</w:t>
      </w:r>
      <w:r>
        <w:rPr>
          <w:rFonts w:hint="eastAsia" w:hAnsi="宋体"/>
          <w:spacing w:val="7"/>
          <w:sz w:val="24"/>
          <w:szCs w:val="24"/>
        </w:rPr>
        <w:t>度和1小时平均浓度，臭氧1小时平均浓度</w:t>
      </w:r>
      <w:r>
        <w:rPr>
          <w:rFonts w:hint="eastAsia"/>
          <w:sz w:val="24"/>
          <w:szCs w:val="24"/>
        </w:rPr>
        <w:t>均满足《环境空气质量标准》(GB3095-2012)中二级标准要求。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sz w:val="24"/>
          <w:szCs w:val="24"/>
        </w:rPr>
        <w:t>声环境：根据河北冀信环境检测技术有限公司2017年6月出具的排污许可证检测报告(冀信(检)字 JXPW201706-06)对唐山正元管业有限公司厂界噪声监测结果，厂区四周厂界噪声值昼间为54.5～63.9dB(A)，夜间为49.7～54.5dB(A)，满足《声环境质量标准》</w:t>
      </w:r>
      <w:r>
        <w:rPr>
          <w:sz w:val="24"/>
          <w:szCs w:val="24"/>
        </w:rPr>
        <w:t>(GB</w:t>
      </w:r>
      <w:r>
        <w:rPr>
          <w:rFonts w:hint="eastAsia"/>
          <w:sz w:val="24"/>
          <w:szCs w:val="24"/>
        </w:rPr>
        <w:t>3096</w:t>
      </w:r>
      <w:r>
        <w:rPr>
          <w:sz w:val="24"/>
          <w:szCs w:val="24"/>
        </w:rPr>
        <w:t>-</w:t>
      </w:r>
      <w:r>
        <w:rPr>
          <w:rFonts w:hint="eastAsia"/>
          <w:sz w:val="24"/>
          <w:szCs w:val="24"/>
        </w:rPr>
        <w:t>2008</w:t>
      </w:r>
      <w:r>
        <w:rPr>
          <w:sz w:val="24"/>
          <w:szCs w:val="24"/>
        </w:rPr>
        <w:t>)</w:t>
      </w:r>
      <w:r>
        <w:rPr>
          <w:rFonts w:hint="eastAsia"/>
          <w:sz w:val="24"/>
          <w:szCs w:val="24"/>
        </w:rPr>
        <w:t xml:space="preserve"> 3类区对应标准要求。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hAnsi="宋体"/>
          <w:b/>
          <w:bCs/>
          <w:sz w:val="24"/>
          <w:szCs w:val="24"/>
          <w:lang w:eastAsia="zh-CN"/>
        </w:rPr>
      </w:pPr>
      <w:r>
        <w:rPr>
          <w:rFonts w:hint="eastAsia" w:hAnsi="宋体"/>
          <w:b/>
          <w:bCs/>
          <w:sz w:val="24"/>
          <w:szCs w:val="24"/>
          <w:lang w:eastAsia="zh-CN"/>
        </w:rPr>
        <w:t>(2)环境保护目标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27" w:firstLineChars="0"/>
        <w:jc w:val="both"/>
        <w:textAlignment w:val="auto"/>
        <w:outlineLvl w:val="9"/>
        <w:rPr>
          <w:rFonts w:hint="eastAsia"/>
          <w:sz w:val="24"/>
          <w:szCs w:val="24"/>
        </w:rPr>
      </w:pPr>
      <w:r>
        <w:rPr>
          <w:rFonts w:hint="eastAsia"/>
          <w:sz w:val="24"/>
          <w:szCs w:val="24"/>
        </w:rPr>
        <w:t>根据工程性质及周围环境特征，本评价将评价区域内的居民点等敏感目标作为大气环境保护目标；工程占地边界周围200m范围内没有声环境敏感点，不再设声环境保护目标。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9" w:firstLineChars="203"/>
        <w:jc w:val="both"/>
        <w:textAlignment w:val="auto"/>
        <w:outlineLvl w:val="9"/>
        <w:rPr>
          <w:rFonts w:hint="eastAsia" w:ascii="宋体" w:hAnsi="宋体"/>
          <w:b/>
          <w:bCs/>
          <w:sz w:val="24"/>
          <w:szCs w:val="24"/>
        </w:rPr>
      </w:pPr>
      <w:r>
        <w:rPr>
          <w:rFonts w:hint="eastAsia" w:ascii="宋体" w:hAnsi="宋体"/>
          <w:b/>
          <w:bCs/>
          <w:sz w:val="24"/>
          <w:szCs w:val="24"/>
          <w:lang w:val="en-US" w:eastAsia="zh-CN"/>
        </w:rPr>
        <w:t>2</w:t>
      </w:r>
      <w:r>
        <w:rPr>
          <w:rFonts w:hint="eastAsia" w:ascii="宋体" w:hAnsi="宋体"/>
          <w:b/>
          <w:bCs/>
          <w:sz w:val="24"/>
          <w:szCs w:val="24"/>
        </w:rPr>
        <w:t>、污染物排放情况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hAnsi="宋体"/>
          <w:b/>
          <w:bCs/>
          <w:sz w:val="24"/>
          <w:szCs w:val="24"/>
          <w:lang w:eastAsia="zh-CN"/>
        </w:rPr>
      </w:pPr>
      <w:r>
        <w:rPr>
          <w:rFonts w:hint="eastAsia" w:hAnsi="宋体"/>
          <w:b/>
          <w:bCs/>
          <w:sz w:val="24"/>
          <w:szCs w:val="24"/>
          <w:lang w:eastAsia="zh-CN"/>
        </w:rPr>
        <w:t>(1)废气污染源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sz w:val="24"/>
          <w:szCs w:val="24"/>
        </w:rPr>
      </w:pPr>
      <w:r>
        <w:rPr>
          <w:rFonts w:hint="eastAsia" w:hAnsi="宋体"/>
          <w:sz w:val="24"/>
          <w:szCs w:val="24"/>
        </w:rPr>
        <w:t>①</w:t>
      </w:r>
      <w:r>
        <w:rPr>
          <w:rFonts w:hint="eastAsia"/>
          <w:sz w:val="24"/>
          <w:szCs w:val="24"/>
        </w:rPr>
        <w:t>焊管车间无组织废气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hAnsi="宋体"/>
          <w:sz w:val="24"/>
          <w:szCs w:val="24"/>
        </w:rPr>
        <w:t>在焊管车间</w:t>
      </w:r>
      <w:r>
        <w:rPr>
          <w:rFonts w:hint="eastAsia"/>
          <w:sz w:val="24"/>
          <w:szCs w:val="24"/>
        </w:rPr>
        <w:t>带钢头尾剪切后需进行焊接处理，带钢头尾焊接过程中会产生一定量的焊烟，本项目采用低焊烟的钛钙焊条，焊烟由固定在焊钳上的集气管收集，采用移动式焊烟净化机组净化后</w:t>
      </w:r>
      <w:r>
        <w:rPr>
          <w:rFonts w:hint="eastAsia" w:hAnsi="宋体"/>
          <w:sz w:val="24"/>
          <w:szCs w:val="24"/>
        </w:rPr>
        <w:t>以无组织形式在车间排放。根据《焊接工作的劳动保护》及《焊接车间环境污染及控制技术发展》(孙大光，中国环境工程技术中心)，钛钙型低碳钢焊条(结422，直径4mm)烟尘产生量为6-8g/kg，施焊时发尘量为200～280mg/min。本评价选取施焊时发尘量为280mg/min，车间无组织废气颗粒物产生速率为0.02kg/h，本次评价移动式焊烟净化器焊烟捕集效率按80%考虑，净化效率按80%考虑，则车间无组织废气颗粒物排放速率为0.007kg/h</w:t>
      </w:r>
      <w:r>
        <w:rPr>
          <w:rFonts w:hint="eastAsia"/>
          <w:sz w:val="24"/>
          <w:szCs w:val="24"/>
        </w:rPr>
        <w:t>。</w:t>
      </w:r>
    </w:p>
    <w:p>
      <w:pPr>
        <w:spacing w:line="312" w:lineRule="auto"/>
        <w:ind w:firstLine="420" w:firstLineChars="200"/>
        <w:rPr>
          <w:rFonts w:hint="eastAsia" w:ascii="??" w:hAnsi="宋体" w:eastAsia="宋体" w:cs="Times New Roman"/>
          <w:b/>
          <w:bCs/>
          <w:kern w:val="2"/>
          <w:sz w:val="24"/>
          <w:szCs w:val="24"/>
          <w:lang w:val="en-US" w:eastAsia="zh-CN" w:bidi="ar-SA"/>
        </w:rPr>
      </w:pPr>
      <w:r>
        <w:rPr>
          <w:rFonts w:hint="eastAsia"/>
        </w:rPr>
        <w:br w:type="page"/>
      </w:r>
      <w:r>
        <w:rPr>
          <w:rFonts w:hint="eastAsia" w:ascii="??" w:hAnsi="宋体" w:eastAsia="宋体" w:cs="Times New Roman"/>
          <w:b/>
          <w:bCs/>
          <w:kern w:val="2"/>
          <w:sz w:val="24"/>
          <w:szCs w:val="24"/>
          <w:lang w:val="en-US" w:eastAsia="zh-CN" w:bidi="ar-SA"/>
        </w:rPr>
        <w:t>(2)废水污染源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ascii="宋"/>
          <w:sz w:val="24"/>
          <w:szCs w:val="24"/>
        </w:rPr>
        <w:t>本项目</w:t>
      </w:r>
      <w:r>
        <w:rPr>
          <w:rFonts w:hint="eastAsia"/>
          <w:sz w:val="24"/>
          <w:szCs w:val="24"/>
        </w:rPr>
        <w:t>带钢冲洗系统排污水经沉淀池去除氧化铁皮后返回冲洗系统循环利用，不外排。冷却及水压系统排污水经沉淀池+带式除油机处理后去除氧化铁皮和油类后，送冷却塔降温，然后返回焊管冷却系统循环利用，不外排。食堂废水经厂区现有隔油池处理后和生活污水一起进入厂区现有化粪池处理，处理后经开发区污水管网排入丰南区城南污水处理厂处理，不直接排入地表水体。</w:t>
      </w:r>
    </w:p>
    <w:p>
      <w:pPr>
        <w:spacing w:line="312" w:lineRule="auto"/>
        <w:ind w:firstLine="482" w:firstLineChars="200"/>
        <w:rPr>
          <w:rFonts w:hint="eastAsia" w:ascii="??" w:hAnsi="宋体" w:eastAsia="宋体" w:cs="Times New Roman"/>
          <w:b/>
          <w:bCs/>
          <w:kern w:val="2"/>
          <w:sz w:val="24"/>
          <w:szCs w:val="24"/>
          <w:lang w:val="en-US" w:eastAsia="zh-CN" w:bidi="ar-SA"/>
        </w:rPr>
      </w:pPr>
      <w:r>
        <w:rPr>
          <w:rFonts w:hint="eastAsia" w:ascii="??" w:hAnsi="宋体" w:eastAsia="宋体" w:cs="Times New Roman"/>
          <w:b/>
          <w:bCs/>
          <w:kern w:val="2"/>
          <w:sz w:val="24"/>
          <w:szCs w:val="24"/>
          <w:lang w:val="en-US" w:eastAsia="zh-CN" w:bidi="ar-SA"/>
        </w:rPr>
        <w:t>(3)噪声污染源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sz w:val="24"/>
          <w:szCs w:val="24"/>
        </w:rPr>
        <w:t>本项目产噪声源主要</w:t>
      </w:r>
      <w:r>
        <w:rPr>
          <w:rFonts w:hint="eastAsia" w:hAnsi="宋体"/>
          <w:sz w:val="24"/>
          <w:szCs w:val="24"/>
        </w:rPr>
        <w:t>为</w:t>
      </w:r>
      <w:r>
        <w:rPr>
          <w:rFonts w:hint="eastAsia"/>
          <w:sz w:val="24"/>
          <w:szCs w:val="24"/>
        </w:rPr>
        <w:t>开卷机、矫平机、纵剪机、剪切对焊机、成型机、固态高频焊机、定径机、矫直机、飞锯机、平头倒棱机、打包机、辊道、开管机、包带成型机、水泵、冷却塔和焊管落料噪声等</w:t>
      </w:r>
      <w:r>
        <w:rPr>
          <w:rFonts w:hint="eastAsia" w:hAnsi="宋体"/>
          <w:sz w:val="24"/>
          <w:szCs w:val="24"/>
        </w:rPr>
        <w:t>，其噪声值为75～100dB(A)。</w:t>
      </w:r>
      <w:r>
        <w:rPr>
          <w:rFonts w:hint="eastAsia"/>
          <w:sz w:val="24"/>
          <w:szCs w:val="24"/>
        </w:rPr>
        <w:t>项目对机械设备运转过程产生机械噪声均采用厂房隔声降噪，降噪效果可达15dB(A)。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9" w:firstLineChars="203"/>
        <w:jc w:val="both"/>
        <w:textAlignment w:val="auto"/>
        <w:outlineLvl w:val="9"/>
        <w:rPr>
          <w:rFonts w:hint="eastAsia" w:ascii="宋体" w:hAnsi="宋体"/>
          <w:b/>
          <w:bCs/>
          <w:sz w:val="24"/>
          <w:szCs w:val="24"/>
          <w:lang w:val="en-US" w:eastAsia="zh-CN"/>
        </w:rPr>
      </w:pPr>
      <w:r>
        <w:rPr>
          <w:rFonts w:hint="eastAsia" w:ascii="宋体" w:hAnsi="宋体"/>
          <w:b/>
          <w:bCs/>
          <w:sz w:val="24"/>
          <w:szCs w:val="24"/>
          <w:lang w:val="en-US" w:eastAsia="zh-CN"/>
        </w:rPr>
        <w:t>3、本项目对环境的影响</w:t>
      </w:r>
    </w:p>
    <w:p>
      <w:pPr>
        <w:spacing w:line="312" w:lineRule="auto"/>
        <w:ind w:firstLine="482" w:firstLineChars="200"/>
        <w:rPr>
          <w:rFonts w:hint="eastAsia" w:ascii="??" w:hAnsi="宋体" w:eastAsia="宋体" w:cs="Times New Roman"/>
          <w:b/>
          <w:bCs/>
          <w:kern w:val="2"/>
          <w:sz w:val="24"/>
          <w:szCs w:val="24"/>
          <w:lang w:val="en-US" w:eastAsia="zh-CN" w:bidi="ar-SA"/>
        </w:rPr>
      </w:pPr>
      <w:r>
        <w:rPr>
          <w:rFonts w:hint="eastAsia" w:ascii="??" w:hAnsi="宋体" w:eastAsia="宋体" w:cs="Times New Roman"/>
          <w:b/>
          <w:bCs/>
          <w:kern w:val="2"/>
          <w:sz w:val="24"/>
          <w:szCs w:val="24"/>
          <w:lang w:val="en-US" w:eastAsia="zh-CN" w:bidi="ar-SA"/>
        </w:rPr>
        <w:t>(1)环境空气影响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1"/>
        <w:rPr>
          <w:spacing w:val="7"/>
          <w:sz w:val="24"/>
          <w:szCs w:val="24"/>
        </w:rPr>
      </w:pPr>
      <w:r>
        <w:rPr>
          <w:rFonts w:hint="eastAsia" w:hAnsi="宋体"/>
          <w:sz w:val="24"/>
          <w:szCs w:val="24"/>
        </w:rPr>
        <w:t>由预测结果可知，</w:t>
      </w:r>
      <w:r>
        <w:rPr>
          <w:rFonts w:hint="eastAsia" w:hAnsi="宋体"/>
          <w:spacing w:val="7"/>
          <w:sz w:val="24"/>
          <w:szCs w:val="24"/>
        </w:rPr>
        <w:t>本项目焊管车间无组织废气TSP最大一次落地浓度为9.40</w:t>
      </w:r>
      <w:r>
        <w:rPr>
          <w:rFonts w:hint="default" w:ascii="Times New Roman" w:hAnsi="Times New Roman" w:cs="Times New Roman"/>
          <w:spacing w:val="7"/>
          <w:sz w:val="24"/>
          <w:szCs w:val="24"/>
        </w:rPr>
        <w:t>μg/m</w:t>
      </w:r>
      <w:r>
        <w:rPr>
          <w:rFonts w:hint="default" w:ascii="Times New Roman" w:hAnsi="Times New Roman" w:cs="Times New Roman"/>
          <w:spacing w:val="7"/>
          <w:sz w:val="24"/>
          <w:szCs w:val="24"/>
          <w:vertAlign w:val="superscript"/>
        </w:rPr>
        <w:t>3</w:t>
      </w:r>
      <w:r>
        <w:rPr>
          <w:rFonts w:hint="eastAsia" w:hAnsi="宋体"/>
          <w:spacing w:val="7"/>
          <w:sz w:val="24"/>
          <w:szCs w:val="24"/>
        </w:rPr>
        <w:t>，最大占标率为1.04%，对应距离为249m。估算模式已考虑了最不利的气象条件，分析预测结果表明，项目实施后，不会对周围环境空气质量产生明显污染影响。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90" w:firstLineChars="196"/>
        <w:jc w:val="both"/>
        <w:textAlignment w:val="auto"/>
        <w:outlineLvl w:val="1"/>
        <w:rPr>
          <w:rFonts w:ascii="黑体" w:hAnsi="宋体" w:eastAsia="黑体" w:cs="黑体"/>
        </w:rPr>
      </w:pPr>
      <w:r>
        <w:rPr>
          <w:rFonts w:hint="eastAsia" w:hAnsi="宋体"/>
          <w:spacing w:val="5"/>
          <w:sz w:val="24"/>
          <w:szCs w:val="24"/>
        </w:rPr>
        <w:t>本项目实施后正元管业全厂无组织排放对四周厂界颗粒物贡献浓度为0.0693～0.0980</w:t>
      </w:r>
      <w:r>
        <w:rPr>
          <w:rFonts w:hAnsi="宋体"/>
          <w:spacing w:val="5"/>
          <w:sz w:val="24"/>
          <w:szCs w:val="24"/>
        </w:rPr>
        <w:t>mg/m</w:t>
      </w:r>
      <w:r>
        <w:rPr>
          <w:rFonts w:hAnsi="宋体"/>
          <w:spacing w:val="5"/>
          <w:sz w:val="24"/>
          <w:szCs w:val="24"/>
          <w:vertAlign w:val="superscript"/>
        </w:rPr>
        <w:t>3</w:t>
      </w:r>
      <w:r>
        <w:rPr>
          <w:rFonts w:hint="eastAsia" w:hAnsi="宋体"/>
          <w:spacing w:val="5"/>
          <w:sz w:val="24"/>
          <w:szCs w:val="24"/>
        </w:rPr>
        <w:t>，满足《大气污染物综合排放标准》(GB16297-1996)表2无组织排放监控浓度限值。</w:t>
      </w:r>
    </w:p>
    <w:p>
      <w:pPr>
        <w:spacing w:line="312" w:lineRule="auto"/>
        <w:ind w:firstLine="482" w:firstLineChars="200"/>
        <w:rPr>
          <w:rFonts w:hint="eastAsia" w:ascii="??" w:hAnsi="宋体" w:eastAsia="宋体" w:cs="Times New Roman"/>
          <w:b/>
          <w:bCs/>
          <w:kern w:val="2"/>
          <w:sz w:val="24"/>
          <w:szCs w:val="24"/>
          <w:lang w:val="en-US" w:eastAsia="zh-CN" w:bidi="ar-SA"/>
        </w:rPr>
      </w:pPr>
      <w:r>
        <w:rPr>
          <w:rFonts w:hint="eastAsia" w:ascii="??" w:hAnsi="宋体" w:eastAsia="宋体" w:cs="Times New Roman"/>
          <w:b/>
          <w:bCs/>
          <w:kern w:val="2"/>
          <w:sz w:val="24"/>
          <w:szCs w:val="24"/>
          <w:lang w:val="en-US" w:eastAsia="zh-CN" w:bidi="ar-SA"/>
        </w:rPr>
        <w:t>(2)地表水环境影响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r>
        <w:rPr>
          <w:rFonts w:hint="eastAsia"/>
          <w:sz w:val="24"/>
          <w:szCs w:val="24"/>
        </w:rPr>
        <w:t>本项目生产废水经处理后全部返回生产系统循环利用，不外排。食堂废水经厂区现有隔油池处理后和生活污水一起进入厂区现有化粪池处理，处理后经开发区污水管网排入丰南区城南污水处理厂处理，不直接排入地表水体。因此，本项目的实施不会对周围地表水环境产生影响。</w:t>
      </w:r>
    </w:p>
    <w:p>
      <w:pPr>
        <w:spacing w:line="312" w:lineRule="auto"/>
        <w:ind w:firstLine="482" w:firstLineChars="200"/>
        <w:rPr>
          <w:rFonts w:hint="eastAsia" w:ascii="??" w:hAnsi="宋体" w:eastAsia="宋体" w:cs="Times New Roman"/>
          <w:b/>
          <w:bCs/>
          <w:kern w:val="2"/>
          <w:sz w:val="24"/>
          <w:szCs w:val="24"/>
          <w:lang w:val="en-US" w:eastAsia="zh-CN" w:bidi="ar-SA"/>
        </w:rPr>
      </w:pPr>
      <w:r>
        <w:rPr>
          <w:rFonts w:hint="eastAsia" w:ascii="??" w:hAnsi="宋体" w:eastAsia="宋体" w:cs="Times New Roman"/>
          <w:b/>
          <w:bCs/>
          <w:kern w:val="2"/>
          <w:sz w:val="24"/>
          <w:szCs w:val="24"/>
          <w:lang w:val="en-US" w:eastAsia="zh-CN" w:bidi="ar-SA"/>
        </w:rPr>
        <w:t>(3)声环境影响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sz w:val="24"/>
          <w:szCs w:val="24"/>
        </w:rPr>
      </w:pPr>
      <w:r>
        <w:rPr>
          <w:rFonts w:hint="eastAsia"/>
          <w:sz w:val="24"/>
          <w:szCs w:val="24"/>
        </w:rPr>
        <w:t>本项目实施后，新增产噪设备</w:t>
      </w:r>
      <w:r>
        <w:rPr>
          <w:rFonts w:hint="eastAsia" w:hAnsi="宋体"/>
          <w:sz w:val="24"/>
          <w:szCs w:val="24"/>
        </w:rPr>
        <w:t>对正元公司厂界</w:t>
      </w:r>
      <w:r>
        <w:rPr>
          <w:rFonts w:hint="eastAsia"/>
          <w:sz w:val="24"/>
          <w:szCs w:val="24"/>
        </w:rPr>
        <w:t>噪声贡献值为36.2～48.6dB(A)，</w:t>
      </w:r>
      <w:r>
        <w:rPr>
          <w:rFonts w:hint="eastAsia" w:hAnsi="宋体"/>
          <w:sz w:val="24"/>
          <w:szCs w:val="24"/>
        </w:rPr>
        <w:t>与现有工程贡献值值叠加后，厂界噪声贡献值为42.0～49.9dB(A)，满足《工业企业厂界环境噪声排放标准》</w:t>
      </w:r>
      <w:r>
        <w:rPr>
          <w:rFonts w:hAnsi="宋体"/>
          <w:sz w:val="24"/>
          <w:szCs w:val="24"/>
        </w:rPr>
        <w:t>(GB12348-2008)</w:t>
      </w:r>
      <w:r>
        <w:rPr>
          <w:rFonts w:hint="eastAsia" w:hAnsi="宋体"/>
          <w:sz w:val="24"/>
          <w:szCs w:val="24"/>
        </w:rPr>
        <w:t>3类标准对应限制要求</w:t>
      </w:r>
      <w:r>
        <w:rPr>
          <w:rFonts w:hint="eastAsia" w:hAnsi="宋体"/>
          <w:sz w:val="24"/>
          <w:szCs w:val="24"/>
          <w:lang w:val="zh-CN"/>
        </w:rPr>
        <w:t>。</w:t>
      </w:r>
      <w:r>
        <w:rPr>
          <w:rFonts w:hint="eastAsia" w:hAnsi="宋体"/>
          <w:sz w:val="24"/>
          <w:szCs w:val="24"/>
        </w:rPr>
        <w:t>因此，本项目实施后，不会对厂址周围声环境产生明显影响。</w:t>
      </w:r>
    </w:p>
    <w:p>
      <w:pPr>
        <w:spacing w:line="312" w:lineRule="auto"/>
        <w:ind w:firstLine="482" w:firstLineChars="200"/>
        <w:rPr>
          <w:rFonts w:hint="eastAsia" w:ascii="??" w:hAnsi="宋体" w:eastAsia="宋体" w:cs="Times New Roman"/>
          <w:b/>
          <w:bCs/>
          <w:kern w:val="2"/>
          <w:sz w:val="24"/>
          <w:szCs w:val="24"/>
          <w:lang w:val="en-US" w:eastAsia="zh-CN" w:bidi="ar-SA"/>
        </w:rPr>
      </w:pPr>
      <w:r>
        <w:rPr>
          <w:rFonts w:hint="eastAsia" w:ascii="??" w:hAnsi="宋体" w:eastAsia="宋体" w:cs="Times New Roman"/>
          <w:b/>
          <w:bCs/>
          <w:kern w:val="2"/>
          <w:sz w:val="24"/>
          <w:szCs w:val="24"/>
          <w:lang w:val="en-US" w:eastAsia="zh-CN" w:bidi="ar-SA"/>
        </w:rPr>
        <w:t>(4) 固体废物影响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sz w:val="24"/>
          <w:szCs w:val="24"/>
        </w:rPr>
      </w:pPr>
      <w:r>
        <w:rPr>
          <w:rFonts w:hint="eastAsia" w:hAnsi="宋体"/>
          <w:sz w:val="24"/>
          <w:szCs w:val="24"/>
        </w:rPr>
        <w:t>根据《国家危险废物名录》、《固体废物鉴别导则(试行)》和《危险废物鉴别技术规范》(HJ/T298-2007)，</w:t>
      </w:r>
      <w:r>
        <w:rPr>
          <w:rFonts w:hint="eastAsia"/>
          <w:sz w:val="24"/>
          <w:szCs w:val="24"/>
        </w:rPr>
        <w:t>废油</w:t>
      </w:r>
      <w:r>
        <w:rPr>
          <w:rFonts w:hint="eastAsia" w:hAnsi="宋体"/>
          <w:sz w:val="24"/>
          <w:szCs w:val="24"/>
        </w:rPr>
        <w:t>(HW08-900-199-08)属于危险废物，其余属于一般工业固体废物，其中金属废料、焊渣、毛刺废渣、氧化铁皮、毛刺全部外售钢铁企业用作生产原料，焊条头和生活垃圾由环卫部门收集后送指定地点填埋。废油经桶装收集后暂存于现有废油暂存间，定期送唐山优艺胜星再生资源有限公司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spacing w:val="7"/>
          <w:sz w:val="24"/>
          <w:szCs w:val="24"/>
        </w:rPr>
      </w:pPr>
      <w:r>
        <w:rPr>
          <w:rFonts w:hint="eastAsia"/>
          <w:sz w:val="24"/>
          <w:szCs w:val="24"/>
        </w:rPr>
        <w:t>本项目产生的固体废物全部综合利用或妥善处置，不会对周围环境产生影响。</w:t>
      </w:r>
    </w:p>
    <w:p>
      <w:pPr>
        <w:spacing w:line="312" w:lineRule="auto"/>
        <w:ind w:firstLine="482" w:firstLineChars="200"/>
        <w:rPr>
          <w:rFonts w:hint="eastAsia" w:ascii="??" w:hAnsi="宋体" w:eastAsia="宋体" w:cs="Times New Roman"/>
          <w:b/>
          <w:bCs/>
          <w:kern w:val="2"/>
          <w:sz w:val="24"/>
          <w:szCs w:val="24"/>
          <w:lang w:val="en-US" w:eastAsia="zh-CN" w:bidi="ar-SA"/>
        </w:rPr>
      </w:pPr>
      <w:r>
        <w:rPr>
          <w:rFonts w:hint="eastAsia" w:hAnsi="宋体" w:cs="Times New Roman"/>
          <w:b/>
          <w:bCs/>
          <w:kern w:val="2"/>
          <w:sz w:val="24"/>
          <w:szCs w:val="24"/>
          <w:lang w:val="en-US" w:eastAsia="zh-CN" w:bidi="ar-SA"/>
        </w:rPr>
        <w:t>4</w:t>
      </w:r>
      <w:r>
        <w:rPr>
          <w:rFonts w:hint="eastAsia" w:ascii="??" w:hAnsi="宋体" w:eastAsia="宋体" w:cs="Times New Roman"/>
          <w:b/>
          <w:bCs/>
          <w:kern w:val="2"/>
          <w:sz w:val="24"/>
          <w:szCs w:val="24"/>
          <w:lang w:val="en-US" w:eastAsia="zh-CN" w:bidi="ar-SA"/>
        </w:rPr>
        <w:t>、工程可行性结论</w:t>
      </w:r>
      <w:r>
        <w:rPr>
          <w:rFonts w:hint="eastAsia" w:ascii="??" w:hAnsi="宋体" w:eastAsia="宋体" w:cs="Times New Roman"/>
          <w:b/>
          <w:bCs/>
          <w:kern w:val="2"/>
          <w:sz w:val="24"/>
          <w:szCs w:val="24"/>
          <w:lang w:val="en-US" w:eastAsia="zh-CN" w:bidi="ar-SA"/>
        </w:rPr>
        <w:tab/>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hAnsi="宋体"/>
          <w:spacing w:val="7"/>
        </w:rPr>
      </w:pPr>
      <w:r>
        <w:rPr>
          <w:rFonts w:hint="eastAsia" w:hAnsi="宋体"/>
          <w:sz w:val="24"/>
          <w:szCs w:val="24"/>
        </w:rPr>
        <w:t>综合以上分析，</w:t>
      </w:r>
      <w:r>
        <w:rPr>
          <w:rFonts w:hint="eastAsia"/>
          <w:sz w:val="24"/>
          <w:szCs w:val="24"/>
        </w:rPr>
        <w:t>唐山正元管业有限公司建设焊管生产线项目符合国家当前相关产业政策要求，项目在正元公司现有厂区内建设，选址可行，工程采取了有效的污染防治措施，污染物均达标排放，工程的实施不会对周围环境产生明显影响。因此，本评价从环保角度认为本项目的建设是可行的</w:t>
      </w:r>
      <w:r>
        <w:rPr>
          <w:rFonts w:hint="eastAsia"/>
          <w:sz w:val="24"/>
          <w:szCs w:val="24"/>
          <w:lang w:eastAsia="zh-CN"/>
        </w:rPr>
        <w:t>。</w:t>
      </w:r>
    </w:p>
    <w:p>
      <w:pPr>
        <w:pStyle w:val="5"/>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2"/>
      </w:pPr>
      <w:bookmarkStart w:id="74" w:name="_Toc503884764"/>
      <w:r>
        <w:t xml:space="preserve">4.1.2 </w:t>
      </w:r>
      <w:r>
        <w:rPr>
          <w:rFonts w:hint="eastAsia"/>
        </w:rPr>
        <w:t>建议</w:t>
      </w:r>
      <w:bookmarkEnd w:id="74"/>
    </w:p>
    <w:p>
      <w:pPr>
        <w:spacing w:line="300" w:lineRule="auto"/>
        <w:ind w:firstLine="480" w:firstLineChars="200"/>
        <w:rPr>
          <w:rFonts w:hint="eastAsia"/>
          <w:sz w:val="24"/>
          <w:szCs w:val="24"/>
        </w:rPr>
      </w:pPr>
      <w:r>
        <w:rPr>
          <w:rFonts w:hint="eastAsia"/>
          <w:sz w:val="24"/>
          <w:szCs w:val="24"/>
        </w:rPr>
        <w:t>(1)认真执行环保“三同时”制度，严格落实各项环保措施；</w:t>
      </w:r>
    </w:p>
    <w:p>
      <w:pPr>
        <w:spacing w:line="440" w:lineRule="atLeast"/>
        <w:ind w:firstLine="480" w:firstLineChars="200"/>
        <w:rPr>
          <w:rFonts w:ascii="宋体"/>
          <w:sz w:val="24"/>
          <w:szCs w:val="24"/>
        </w:rPr>
      </w:pPr>
      <w:r>
        <w:rPr>
          <w:rFonts w:hint="eastAsia"/>
          <w:sz w:val="24"/>
          <w:szCs w:val="24"/>
        </w:rPr>
        <w:t>(2)加强设备维护、维修工作，确保各类环保设施正常运行。</w:t>
      </w:r>
    </w:p>
    <w:p>
      <w:pPr>
        <w:pStyle w:val="4"/>
        <w:keepNext w:val="0"/>
        <w:keepLines w:val="0"/>
        <w:pageBreakBefore w:val="0"/>
        <w:widowControl w:val="0"/>
        <w:kinsoku/>
        <w:wordWrap/>
        <w:overflowPunct/>
        <w:topLinePunct w:val="0"/>
        <w:autoSpaceDE/>
        <w:autoSpaceDN/>
        <w:bidi w:val="0"/>
        <w:adjustRightInd/>
        <w:snapToGrid/>
        <w:spacing w:before="157" w:beforeLines="50" w:line="440" w:lineRule="atLeast"/>
        <w:ind w:left="0" w:leftChars="0" w:right="0" w:rightChars="0" w:firstLine="0" w:firstLineChars="0"/>
        <w:jc w:val="both"/>
        <w:textAlignment w:val="auto"/>
        <w:outlineLvl w:val="1"/>
      </w:pPr>
      <w:bookmarkStart w:id="75" w:name="_Toc503884765"/>
      <w:r>
        <w:t xml:space="preserve">4.2 </w:t>
      </w:r>
      <w:r>
        <w:rPr>
          <w:rFonts w:hint="eastAsia"/>
        </w:rPr>
        <w:t>审批部门审批意见</w:t>
      </w:r>
      <w:bookmarkEnd w:id="75"/>
    </w:p>
    <w:p>
      <w:pPr>
        <w:spacing w:line="440" w:lineRule="atLeast"/>
        <w:ind w:firstLine="480" w:firstLineChars="200"/>
        <w:rPr>
          <w:rFonts w:ascii="宋体"/>
          <w:sz w:val="24"/>
          <w:szCs w:val="24"/>
        </w:rPr>
      </w:pPr>
      <w:r>
        <w:rPr>
          <w:rFonts w:hint="eastAsia" w:ascii="宋体" w:hAnsi="宋体"/>
          <w:sz w:val="24"/>
          <w:szCs w:val="24"/>
        </w:rPr>
        <w:t>本项目于</w:t>
      </w:r>
      <w:r>
        <w:rPr>
          <w:rFonts w:ascii="宋体" w:hAnsi="宋体"/>
          <w:sz w:val="24"/>
          <w:szCs w:val="24"/>
        </w:rPr>
        <w:t>201</w:t>
      </w:r>
      <w:r>
        <w:rPr>
          <w:rFonts w:hint="eastAsia" w:ascii="宋体" w:hAnsi="宋体"/>
          <w:sz w:val="24"/>
          <w:szCs w:val="24"/>
          <w:lang w:val="en-US" w:eastAsia="zh-CN"/>
        </w:rPr>
        <w:t>7</w:t>
      </w:r>
      <w:r>
        <w:rPr>
          <w:rFonts w:hint="eastAsia" w:ascii="宋体" w:hAnsi="宋体"/>
          <w:sz w:val="24"/>
          <w:szCs w:val="24"/>
        </w:rPr>
        <w:t>年</w:t>
      </w:r>
      <w:r>
        <w:rPr>
          <w:rFonts w:hint="eastAsia" w:ascii="宋体" w:hAnsi="宋体"/>
          <w:sz w:val="24"/>
          <w:szCs w:val="24"/>
          <w:lang w:val="en-US" w:eastAsia="zh-CN"/>
        </w:rPr>
        <w:t>9</w:t>
      </w:r>
      <w:r>
        <w:rPr>
          <w:rFonts w:hint="eastAsia" w:ascii="宋体" w:hAnsi="宋体"/>
          <w:sz w:val="24"/>
          <w:szCs w:val="24"/>
        </w:rPr>
        <w:t>月</w:t>
      </w:r>
      <w:r>
        <w:rPr>
          <w:rFonts w:hint="eastAsia" w:ascii="宋体" w:hAnsi="宋体"/>
          <w:sz w:val="24"/>
          <w:szCs w:val="24"/>
          <w:lang w:val="en-US" w:eastAsia="zh-CN"/>
        </w:rPr>
        <w:t>30</w:t>
      </w:r>
      <w:r>
        <w:rPr>
          <w:rFonts w:hint="eastAsia" w:ascii="宋体" w:hAnsi="宋体"/>
          <w:sz w:val="24"/>
          <w:szCs w:val="24"/>
        </w:rPr>
        <w:t>日由</w:t>
      </w:r>
      <w:r>
        <w:rPr>
          <w:rFonts w:hint="eastAsia" w:ascii="宋体" w:hAnsi="宋体"/>
          <w:sz w:val="24"/>
          <w:szCs w:val="24"/>
          <w:lang w:eastAsia="zh-CN"/>
        </w:rPr>
        <w:t>唐山市丰南区</w:t>
      </w:r>
      <w:r>
        <w:rPr>
          <w:rFonts w:hint="eastAsia" w:ascii="宋体" w:hAnsi="宋体"/>
          <w:sz w:val="24"/>
          <w:szCs w:val="24"/>
        </w:rPr>
        <w:t>环境保护局审批通过，并出具审批意见</w:t>
      </w:r>
      <w:r>
        <w:rPr>
          <w:rFonts w:hint="eastAsia" w:ascii="宋体" w:hAnsi="宋体"/>
          <w:sz w:val="24"/>
          <w:szCs w:val="24"/>
          <w:lang w:eastAsia="zh-CN"/>
        </w:rPr>
        <w:t>，丰环表</w:t>
      </w:r>
      <w:r>
        <w:rPr>
          <w:rFonts w:hint="eastAsia" w:ascii="宋体" w:hAnsi="宋体"/>
          <w:sz w:val="24"/>
          <w:szCs w:val="24"/>
          <w:lang w:val="en-US" w:eastAsia="zh-CN"/>
        </w:rPr>
        <w:t>[2017]103号</w:t>
      </w:r>
      <w:r>
        <w:rPr>
          <w:rFonts w:hint="eastAsia" w:ascii="宋体" w:hAnsi="宋体"/>
          <w:sz w:val="24"/>
          <w:szCs w:val="24"/>
        </w:rPr>
        <w:t>。</w:t>
      </w:r>
      <w:r>
        <w:rPr>
          <w:rFonts w:hint="eastAsia" w:ascii="宋体" w:hAnsi="宋体"/>
          <w:sz w:val="24"/>
          <w:szCs w:val="24"/>
          <w:lang w:eastAsia="zh-CN"/>
        </w:rPr>
        <w:t>详见附件</w:t>
      </w:r>
      <w:r>
        <w:rPr>
          <w:rFonts w:hint="eastAsia" w:ascii="宋体" w:hAnsi="宋体"/>
          <w:sz w:val="24"/>
          <w:szCs w:val="24"/>
          <w:lang w:val="en-US" w:eastAsia="zh-CN"/>
        </w:rPr>
        <w:t>1。</w:t>
      </w:r>
    </w:p>
    <w:p>
      <w:pPr>
        <w:pStyle w:val="4"/>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right="0" w:rightChars="0" w:firstLine="0" w:firstLineChars="0"/>
        <w:jc w:val="both"/>
        <w:textAlignment w:val="auto"/>
        <w:outlineLvl w:val="1"/>
      </w:pPr>
      <w:bookmarkStart w:id="76" w:name="_Toc503884766"/>
      <w:r>
        <w:t xml:space="preserve">4.3 </w:t>
      </w:r>
      <w:r>
        <w:rPr>
          <w:rFonts w:hint="eastAsia"/>
        </w:rPr>
        <w:t>审批意见落实情况</w:t>
      </w:r>
      <w:bookmarkEnd w:id="76"/>
    </w:p>
    <w:p>
      <w:pPr>
        <w:ind w:firstLine="480" w:firstLineChars="200"/>
        <w:rPr>
          <w:rFonts w:ascii="宋体"/>
          <w:b/>
          <w:sz w:val="24"/>
          <w:szCs w:val="24"/>
        </w:rPr>
      </w:pPr>
      <w:bookmarkStart w:id="77" w:name="_Toc497001471"/>
      <w:r>
        <w:rPr>
          <w:rFonts w:hint="eastAsia" w:ascii="宋体" w:hAnsi="宋体"/>
          <w:sz w:val="24"/>
          <w:szCs w:val="24"/>
        </w:rPr>
        <w:t>审批意见落实情况详见下表</w:t>
      </w:r>
      <w:r>
        <w:rPr>
          <w:rFonts w:ascii="宋体" w:hAnsi="宋体"/>
          <w:sz w:val="24"/>
          <w:szCs w:val="24"/>
        </w:rPr>
        <w:t>4-1</w:t>
      </w:r>
      <w:r>
        <w:rPr>
          <w:rFonts w:hint="eastAsia" w:ascii="宋体" w:hAnsi="宋体"/>
          <w:sz w:val="24"/>
          <w:szCs w:val="24"/>
        </w:rPr>
        <w:t>。</w:t>
      </w:r>
      <w:bookmarkEnd w:id="77"/>
    </w:p>
    <w:p>
      <w:pPr>
        <w:widowControl/>
        <w:spacing w:beforeLines="50" w:afterLines="50"/>
        <w:ind w:firstLine="142" w:firstLineChars="59"/>
        <w:jc w:val="center"/>
        <w:rPr>
          <w:rFonts w:ascii="宋体"/>
          <w:b/>
          <w:sz w:val="24"/>
          <w:szCs w:val="24"/>
        </w:rPr>
      </w:pPr>
      <w:r>
        <w:rPr>
          <w:rFonts w:hint="eastAsia" w:ascii="宋体" w:hAnsi="宋体"/>
          <w:b/>
          <w:sz w:val="24"/>
          <w:szCs w:val="24"/>
        </w:rPr>
        <w:br w:type="page"/>
      </w:r>
      <w:r>
        <w:rPr>
          <w:rFonts w:hint="eastAsia" w:ascii="宋体" w:hAnsi="宋体"/>
          <w:b/>
          <w:sz w:val="24"/>
          <w:szCs w:val="24"/>
        </w:rPr>
        <w:t>表</w:t>
      </w:r>
      <w:r>
        <w:rPr>
          <w:rFonts w:ascii="宋体" w:hAnsi="宋体"/>
          <w:b/>
          <w:sz w:val="24"/>
          <w:szCs w:val="24"/>
        </w:rPr>
        <w:t xml:space="preserve">4-1  </w:t>
      </w:r>
      <w:r>
        <w:rPr>
          <w:rFonts w:hint="eastAsia" w:ascii="宋体" w:hAnsi="宋体"/>
          <w:b/>
          <w:sz w:val="24"/>
          <w:szCs w:val="24"/>
        </w:rPr>
        <w:t>环评审批意见落实情况</w:t>
      </w:r>
    </w:p>
    <w:tbl>
      <w:tblPr>
        <w:tblStyle w:val="35"/>
        <w:tblW w:w="8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08"/>
        <w:gridCol w:w="5470"/>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14" w:hRule="atLeast"/>
          <w:jc w:val="center"/>
        </w:trPr>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宋体"/>
                <w:b/>
                <w:spacing w:val="-10"/>
                <w:szCs w:val="21"/>
              </w:rPr>
            </w:pPr>
            <w:r>
              <w:rPr>
                <w:rFonts w:hint="eastAsia" w:ascii="宋体" w:hAnsi="宋体"/>
                <w:b/>
                <w:spacing w:val="-10"/>
                <w:szCs w:val="21"/>
              </w:rPr>
              <w:t>序号</w:t>
            </w:r>
          </w:p>
        </w:tc>
        <w:tc>
          <w:tcPr>
            <w:tcW w:w="5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宋体"/>
                <w:b/>
                <w:spacing w:val="-10"/>
                <w:szCs w:val="21"/>
              </w:rPr>
            </w:pPr>
            <w:r>
              <w:rPr>
                <w:rFonts w:hint="eastAsia" w:ascii="宋体" w:hAnsi="宋体"/>
                <w:b/>
                <w:spacing w:val="-10"/>
                <w:szCs w:val="21"/>
              </w:rPr>
              <w:t>审批意见内容</w:t>
            </w:r>
          </w:p>
        </w:tc>
        <w:tc>
          <w:tcPr>
            <w:tcW w:w="22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宋体"/>
                <w:b/>
                <w:spacing w:val="-10"/>
                <w:szCs w:val="21"/>
              </w:rPr>
            </w:pPr>
            <w:r>
              <w:rPr>
                <w:rFonts w:hint="eastAsia" w:ascii="宋体" w:hAnsi="宋体"/>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04" w:hRule="atLeast"/>
          <w:jc w:val="center"/>
        </w:trPr>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宋体"/>
                <w:spacing w:val="-10"/>
                <w:szCs w:val="21"/>
              </w:rPr>
            </w:pPr>
            <w:r>
              <w:rPr>
                <w:rFonts w:ascii="宋体" w:hAnsi="宋体"/>
                <w:spacing w:val="-10"/>
                <w:szCs w:val="21"/>
              </w:rPr>
              <w:t>1</w:t>
            </w:r>
          </w:p>
        </w:tc>
        <w:tc>
          <w:tcPr>
            <w:tcW w:w="5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ascii="宋体"/>
                <w:b/>
                <w:spacing w:val="-10"/>
                <w:szCs w:val="21"/>
              </w:rPr>
            </w:pPr>
            <w:r>
              <w:rPr>
                <w:rFonts w:hint="eastAsia" w:ascii="宋体" w:hAnsi="宋体"/>
                <w:szCs w:val="21"/>
              </w:rPr>
              <w:t>建设单位：唐山正元管业有限公司</w:t>
            </w:r>
          </w:p>
        </w:tc>
        <w:tc>
          <w:tcPr>
            <w:tcW w:w="22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szCs w:val="21"/>
                <w:lang w:eastAsia="zh-CN"/>
              </w:rPr>
            </w:pPr>
            <w:r>
              <w:rPr>
                <w:rFonts w:hint="eastAsia" w:ascii="宋体" w:hAnsi="宋体"/>
                <w:szCs w:val="21"/>
                <w:lang w:eastAsia="zh-CN"/>
              </w:rPr>
              <w:t>建设单位名称未变动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420" w:hRule="atLeast"/>
          <w:jc w:val="center"/>
        </w:trPr>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宋体"/>
                <w:spacing w:val="-10"/>
                <w:szCs w:val="21"/>
              </w:rPr>
            </w:pPr>
            <w:r>
              <w:rPr>
                <w:rFonts w:ascii="宋体" w:hAnsi="宋体"/>
                <w:spacing w:val="-10"/>
                <w:szCs w:val="21"/>
              </w:rPr>
              <w:t>2</w:t>
            </w:r>
          </w:p>
        </w:tc>
        <w:tc>
          <w:tcPr>
            <w:tcW w:w="5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ascii="宋体"/>
                <w:szCs w:val="21"/>
              </w:rPr>
            </w:pPr>
            <w:r>
              <w:rPr>
                <w:rFonts w:hint="eastAsia" w:ascii="宋体" w:hAnsi="宋体"/>
                <w:szCs w:val="21"/>
              </w:rPr>
              <w:t>建设地点：唐山市丰南区河北丰南临港经济开发区</w:t>
            </w:r>
            <w:r>
              <w:rPr>
                <w:rFonts w:hint="eastAsia" w:ascii="宋体" w:hAnsi="宋体"/>
                <w:szCs w:val="21"/>
                <w:lang w:eastAsia="zh-CN"/>
              </w:rPr>
              <w:t>，唐山正元管业有限公司现有厂区内</w:t>
            </w:r>
          </w:p>
        </w:tc>
        <w:tc>
          <w:tcPr>
            <w:tcW w:w="22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szCs w:val="21"/>
                <w:lang w:eastAsia="zh-CN"/>
              </w:rPr>
            </w:pPr>
            <w:r>
              <w:rPr>
                <w:rFonts w:hint="eastAsia" w:ascii="宋体" w:hAnsi="宋体"/>
                <w:szCs w:val="21"/>
                <w:lang w:eastAsia="zh-CN"/>
              </w:rPr>
              <w:t>建设地点不变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400" w:hRule="atLeast"/>
          <w:jc w:val="center"/>
        </w:trPr>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宋体" w:hAnsi="宋体"/>
                <w:spacing w:val="-10"/>
                <w:szCs w:val="21"/>
              </w:rPr>
            </w:pPr>
            <w:r>
              <w:rPr>
                <w:rFonts w:ascii="宋体" w:hAnsi="宋体"/>
                <w:spacing w:val="-10"/>
                <w:szCs w:val="21"/>
              </w:rPr>
              <w:t>3</w:t>
            </w:r>
          </w:p>
        </w:tc>
        <w:tc>
          <w:tcPr>
            <w:tcW w:w="5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eastAsia="宋体"/>
                <w:szCs w:val="21"/>
                <w:lang w:eastAsia="zh-CN"/>
              </w:rPr>
            </w:pPr>
            <w:r>
              <w:rPr>
                <w:rFonts w:hint="eastAsia" w:ascii="宋体" w:hAnsi="宋体"/>
                <w:szCs w:val="21"/>
                <w:lang w:eastAsia="zh-CN"/>
              </w:rPr>
              <w:t>废气：本项目焊管车间采用低焊烟的钛钙焊条，在焊钳上设置集气管收集焊烟，采用移动式焊烟净化机组净化后以无组织形式在车间排放，污染物排放浓度执行《大气污染物综合排放标准》（</w:t>
            </w:r>
            <w:r>
              <w:rPr>
                <w:rFonts w:hint="eastAsia" w:ascii="宋体" w:hAnsi="宋体"/>
                <w:szCs w:val="21"/>
                <w:lang w:val="en-US" w:eastAsia="zh-CN"/>
              </w:rPr>
              <w:t>GB16297-1996</w:t>
            </w:r>
            <w:r>
              <w:rPr>
                <w:rFonts w:hint="eastAsia" w:ascii="宋体" w:hAnsi="宋体"/>
                <w:szCs w:val="21"/>
                <w:lang w:eastAsia="zh-CN"/>
              </w:rPr>
              <w:t>）表</w:t>
            </w:r>
            <w:r>
              <w:rPr>
                <w:rFonts w:hint="eastAsia" w:ascii="宋体" w:hAnsi="宋体"/>
                <w:szCs w:val="21"/>
                <w:lang w:val="en-US" w:eastAsia="zh-CN"/>
              </w:rPr>
              <w:t>2无组织排放监控浓度限值要求。</w:t>
            </w:r>
          </w:p>
        </w:tc>
        <w:tc>
          <w:tcPr>
            <w:tcW w:w="22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宋体"/>
                <w:szCs w:val="21"/>
              </w:rPr>
            </w:pPr>
            <w:r>
              <w:rPr>
                <w:rFonts w:hint="eastAsia" w:ascii="宋体" w:hAnsi="宋体"/>
                <w:szCs w:val="21"/>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120" w:hRule="atLeast"/>
          <w:jc w:val="center"/>
        </w:trPr>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宋体"/>
                <w:spacing w:val="-10"/>
                <w:szCs w:val="21"/>
              </w:rPr>
            </w:pPr>
            <w:r>
              <w:rPr>
                <w:rFonts w:ascii="宋体" w:hAnsi="宋体"/>
                <w:spacing w:val="-10"/>
                <w:szCs w:val="21"/>
              </w:rPr>
              <w:t>4</w:t>
            </w:r>
          </w:p>
        </w:tc>
        <w:tc>
          <w:tcPr>
            <w:tcW w:w="5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eastAsia="宋体"/>
                <w:szCs w:val="21"/>
                <w:lang w:eastAsia="zh-CN"/>
              </w:rPr>
            </w:pPr>
            <w:r>
              <w:rPr>
                <w:rFonts w:hint="eastAsia" w:ascii="宋体" w:hAnsi="宋体"/>
                <w:szCs w:val="21"/>
                <w:lang w:eastAsia="zh-CN"/>
              </w:rPr>
              <w:t>废水：本项目生产废水经处理后全部返回生产系统循环使用，不外排。食堂废水经厂区现有隔油池处理后和生活污水一起进入厂区现有化粪池处理，处理后经开发区污水管网排入丰南区城南污水处理厂处理。</w:t>
            </w:r>
          </w:p>
        </w:tc>
        <w:tc>
          <w:tcPr>
            <w:tcW w:w="22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eastAsia="宋体"/>
                <w:szCs w:val="21"/>
                <w:lang w:eastAsia="zh-CN"/>
              </w:rPr>
            </w:pPr>
            <w:r>
              <w:rPr>
                <w:rFonts w:hint="eastAsia" w:ascii="宋体" w:hAnsi="宋体"/>
                <w:szCs w:val="21"/>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914" w:hRule="atLeast"/>
          <w:jc w:val="center"/>
        </w:trPr>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宋体"/>
                <w:szCs w:val="21"/>
              </w:rPr>
            </w:pPr>
            <w:r>
              <w:rPr>
                <w:rFonts w:ascii="宋体" w:hAnsi="宋体"/>
                <w:szCs w:val="21"/>
              </w:rPr>
              <w:t>5</w:t>
            </w:r>
          </w:p>
        </w:tc>
        <w:tc>
          <w:tcPr>
            <w:tcW w:w="5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eastAsia="宋体"/>
                <w:szCs w:val="21"/>
                <w:lang w:eastAsia="zh-CN"/>
              </w:rPr>
            </w:pPr>
            <w:r>
              <w:rPr>
                <w:rFonts w:hint="eastAsia" w:ascii="宋体" w:hAnsi="宋体"/>
                <w:szCs w:val="21"/>
                <w:lang w:eastAsia="zh-CN"/>
              </w:rPr>
              <w:t>噪声：本项目产噪声源主要为开卷机、矫平机、纵剪机、剪切对焊机、成型机、固态高频焊机、定径机、矫直机、飞锯机、平头倒棱机、打包机、辊道、开管机、包带成型机、水泵、冷却塔和焊管落料噪声等。机械设备运转过程产生机械噪声均采用厂房隔声，厂界噪声贡献值执行《工业企业厂界噪声排放标准》（</w:t>
            </w:r>
            <w:r>
              <w:rPr>
                <w:rFonts w:hint="eastAsia" w:ascii="宋体" w:hAnsi="宋体"/>
                <w:szCs w:val="21"/>
                <w:lang w:val="en-US" w:eastAsia="zh-CN"/>
              </w:rPr>
              <w:t>GB12348-2008</w:t>
            </w:r>
            <w:r>
              <w:rPr>
                <w:rFonts w:hint="eastAsia" w:ascii="宋体" w:hAnsi="宋体"/>
                <w:szCs w:val="21"/>
                <w:lang w:eastAsia="zh-CN"/>
              </w:rPr>
              <w:t>）</w:t>
            </w:r>
            <w:r>
              <w:rPr>
                <w:rFonts w:hint="eastAsia" w:ascii="宋体" w:hAnsi="宋体"/>
                <w:szCs w:val="21"/>
                <w:lang w:val="en-US" w:eastAsia="zh-CN"/>
              </w:rPr>
              <w:t>3类标准对应限值要求。</w:t>
            </w:r>
          </w:p>
        </w:tc>
        <w:tc>
          <w:tcPr>
            <w:tcW w:w="22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szCs w:val="21"/>
                <w:lang w:eastAsia="zh-CN"/>
              </w:rPr>
            </w:pPr>
            <w:r>
              <w:rPr>
                <w:rFonts w:hint="eastAsia" w:ascii="宋体" w:hAnsi="宋体"/>
                <w:szCs w:val="21"/>
                <w:lang w:eastAsia="zh-CN"/>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94" w:hRule="atLeast"/>
          <w:jc w:val="center"/>
        </w:trPr>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szCs w:val="21"/>
                <w:lang w:val="en-US" w:eastAsia="zh-CN"/>
              </w:rPr>
            </w:pPr>
            <w:r>
              <w:rPr>
                <w:rFonts w:hint="eastAsia" w:ascii="宋体" w:hAnsi="宋体"/>
                <w:szCs w:val="21"/>
                <w:lang w:val="en-US" w:eastAsia="zh-CN"/>
              </w:rPr>
              <w:t>6</w:t>
            </w:r>
          </w:p>
        </w:tc>
        <w:tc>
          <w:tcPr>
            <w:tcW w:w="5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szCs w:val="21"/>
                <w:lang w:eastAsia="zh-CN"/>
              </w:rPr>
            </w:pPr>
            <w:r>
              <w:rPr>
                <w:rFonts w:hint="eastAsia" w:ascii="宋体" w:hAnsi="宋体"/>
                <w:szCs w:val="21"/>
                <w:lang w:eastAsia="zh-CN"/>
              </w:rPr>
              <w:t>固废：严格按照环评报告表中提出的措施妥善处理、处置，不得随意外排。</w:t>
            </w:r>
          </w:p>
        </w:tc>
        <w:tc>
          <w:tcPr>
            <w:tcW w:w="22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szCs w:val="21"/>
                <w:lang w:eastAsia="zh-CN"/>
              </w:rPr>
            </w:pPr>
            <w:r>
              <w:rPr>
                <w:rFonts w:hint="eastAsia" w:ascii="宋体" w:hAnsi="宋体"/>
                <w:szCs w:val="21"/>
                <w:lang w:eastAsia="zh-CN"/>
              </w:rPr>
              <w:t>落实</w:t>
            </w:r>
          </w:p>
        </w:tc>
      </w:tr>
    </w:tbl>
    <w:p>
      <w:pPr>
        <w:pStyle w:val="3"/>
      </w:pPr>
      <w:bookmarkStart w:id="78" w:name="_Toc503884767"/>
      <w:r>
        <w:br w:type="page"/>
      </w:r>
      <w:r>
        <w:t xml:space="preserve">5 </w:t>
      </w:r>
      <w:r>
        <w:rPr>
          <w:rFonts w:hint="eastAsia"/>
        </w:rPr>
        <w:t>验收评价标准</w:t>
      </w:r>
      <w:bookmarkEnd w:id="78"/>
    </w:p>
    <w:p>
      <w:pPr>
        <w:pStyle w:val="4"/>
      </w:pPr>
      <w:bookmarkStart w:id="79" w:name="_Toc503884768"/>
      <w:r>
        <w:t xml:space="preserve">5.1 </w:t>
      </w:r>
      <w:r>
        <w:rPr>
          <w:rFonts w:hint="eastAsia"/>
        </w:rPr>
        <w:t>污染物排放标准</w:t>
      </w:r>
      <w:bookmarkEnd w:id="79"/>
    </w:p>
    <w:p>
      <w:pPr>
        <w:pStyle w:val="5"/>
      </w:pPr>
      <w:bookmarkStart w:id="80" w:name="_Toc497001474"/>
      <w:bookmarkStart w:id="81" w:name="_Toc496979035"/>
      <w:bookmarkStart w:id="82" w:name="_Toc503884769"/>
      <w:r>
        <w:t xml:space="preserve">5.1.1 </w:t>
      </w:r>
      <w:r>
        <w:rPr>
          <w:rFonts w:hint="eastAsia"/>
          <w:lang w:eastAsia="zh-CN"/>
        </w:rPr>
        <w:t>废气</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外排</w:t>
      </w:r>
      <w:r>
        <w:rPr>
          <w:rFonts w:hint="eastAsia" w:ascii="宋体" w:hAnsi="宋体"/>
          <w:sz w:val="24"/>
          <w:szCs w:val="24"/>
          <w:lang w:eastAsia="zh-CN"/>
        </w:rPr>
        <w:t>废气</w:t>
      </w:r>
      <w:r>
        <w:rPr>
          <w:rFonts w:hint="eastAsia" w:ascii="宋体" w:hAnsi="宋体"/>
          <w:sz w:val="24"/>
          <w:szCs w:val="24"/>
        </w:rPr>
        <w:t>执行</w:t>
      </w:r>
      <w:r>
        <w:rPr>
          <w:rFonts w:hint="eastAsia" w:ascii="宋体" w:hAnsi="宋体"/>
          <w:sz w:val="24"/>
          <w:szCs w:val="24"/>
          <w:lang w:eastAsia="zh-CN"/>
        </w:rPr>
        <w:t>《大气污染物综合排放标准》（</w:t>
      </w:r>
      <w:r>
        <w:rPr>
          <w:rFonts w:hint="eastAsia" w:ascii="宋体" w:hAnsi="宋体"/>
          <w:sz w:val="24"/>
          <w:szCs w:val="24"/>
          <w:lang w:val="en-US" w:eastAsia="zh-CN"/>
        </w:rPr>
        <w:t>GB16297-1996</w:t>
      </w:r>
      <w:r>
        <w:rPr>
          <w:rFonts w:hint="eastAsia" w:ascii="宋体" w:hAnsi="宋体"/>
          <w:sz w:val="24"/>
          <w:szCs w:val="24"/>
          <w:lang w:eastAsia="zh-CN"/>
        </w:rPr>
        <w:t>）表</w:t>
      </w:r>
      <w:r>
        <w:rPr>
          <w:rFonts w:hint="eastAsia" w:ascii="宋体" w:hAnsi="宋体"/>
          <w:sz w:val="24"/>
          <w:szCs w:val="24"/>
          <w:lang w:val="en-US" w:eastAsia="zh-CN"/>
        </w:rPr>
        <w:t>2中无组织排放监控浓度限值要求</w:t>
      </w:r>
      <w:r>
        <w:rPr>
          <w:rFonts w:hint="eastAsia" w:ascii="宋体" w:hAnsi="宋体"/>
          <w:sz w:val="24"/>
          <w:szCs w:val="24"/>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center"/>
        <w:textAlignment w:val="auto"/>
        <w:outlineLvl w:val="9"/>
        <w:rPr>
          <w:rFonts w:ascii="宋体"/>
          <w:b/>
          <w:sz w:val="24"/>
          <w:szCs w:val="24"/>
        </w:rPr>
      </w:pPr>
      <w:r>
        <w:rPr>
          <w:rFonts w:hint="eastAsia" w:ascii="宋体" w:hAnsi="宋体"/>
          <w:b/>
          <w:sz w:val="24"/>
          <w:szCs w:val="24"/>
        </w:rPr>
        <w:t>表</w:t>
      </w:r>
      <w:r>
        <w:rPr>
          <w:rFonts w:ascii="宋体" w:hAnsi="宋体"/>
          <w:b/>
          <w:sz w:val="24"/>
          <w:szCs w:val="24"/>
        </w:rPr>
        <w:t xml:space="preserve">5-1  </w:t>
      </w:r>
      <w:r>
        <w:rPr>
          <w:rFonts w:hint="eastAsia" w:ascii="宋体" w:hAnsi="宋体"/>
          <w:b/>
          <w:sz w:val="24"/>
          <w:szCs w:val="24"/>
        </w:rPr>
        <w:t>废气执行标准</w:t>
      </w:r>
    </w:p>
    <w:tbl>
      <w:tblPr>
        <w:tblStyle w:val="35"/>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3716"/>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spacing w:line="400" w:lineRule="exact"/>
              <w:ind w:left="0" w:leftChars="0" w:right="0" w:rightChars="0" w:firstLine="0" w:firstLineChars="0"/>
              <w:jc w:val="center"/>
              <w:textAlignment w:val="auto"/>
              <w:outlineLvl w:val="9"/>
              <w:rPr>
                <w:rFonts w:hint="eastAsia" w:ascii="宋体" w:hAnsi="宋体"/>
                <w:b/>
              </w:rPr>
            </w:pPr>
            <w:r>
              <w:rPr>
                <w:rFonts w:hint="eastAsia" w:ascii="宋体" w:hAnsi="宋体"/>
                <w:b/>
              </w:rPr>
              <w:t>污染源</w:t>
            </w:r>
          </w:p>
        </w:tc>
        <w:tc>
          <w:tcPr>
            <w:tcW w:w="3716" w:type="dxa"/>
            <w:tcBorders>
              <w:tl2br w:val="nil"/>
              <w:tr2bl w:val="nil"/>
            </w:tcBorders>
            <w:vAlign w:val="center"/>
          </w:tcPr>
          <w:p>
            <w:pPr>
              <w:keepNext w:val="0"/>
              <w:keepLines w:val="0"/>
              <w:pageBreakBefore w:val="0"/>
              <w:widowControl w:val="0"/>
              <w:kinsoku/>
              <w:wordWrap/>
              <w:overflowPunct/>
              <w:topLinePunct w:val="0"/>
              <w:autoSpaceDE/>
              <w:autoSpaceDN/>
              <w:bidi w:val="0"/>
              <w:spacing w:line="400" w:lineRule="exact"/>
              <w:ind w:left="0" w:leftChars="0" w:right="0" w:rightChars="0" w:firstLine="0" w:firstLineChars="0"/>
              <w:jc w:val="center"/>
              <w:textAlignment w:val="auto"/>
              <w:outlineLvl w:val="9"/>
              <w:rPr>
                <w:rFonts w:hint="eastAsia" w:ascii="宋体" w:hAnsi="宋体"/>
                <w:b/>
              </w:rPr>
            </w:pPr>
            <w:r>
              <w:rPr>
                <w:rFonts w:hint="eastAsia" w:ascii="宋体" w:hAnsi="宋体"/>
                <w:b/>
              </w:rPr>
              <w:t>标准值</w:t>
            </w:r>
          </w:p>
        </w:tc>
        <w:tc>
          <w:tcPr>
            <w:tcW w:w="3301" w:type="dxa"/>
            <w:tcBorders>
              <w:tl2br w:val="nil"/>
              <w:tr2bl w:val="nil"/>
            </w:tcBorders>
            <w:vAlign w:val="center"/>
          </w:tcPr>
          <w:p>
            <w:pPr>
              <w:keepNext w:val="0"/>
              <w:keepLines w:val="0"/>
              <w:pageBreakBefore w:val="0"/>
              <w:widowControl w:val="0"/>
              <w:kinsoku/>
              <w:wordWrap/>
              <w:overflowPunct/>
              <w:topLinePunct w:val="0"/>
              <w:autoSpaceDE/>
              <w:autoSpaceDN/>
              <w:bidi w:val="0"/>
              <w:spacing w:line="400" w:lineRule="exact"/>
              <w:ind w:left="0" w:leftChars="0" w:right="0" w:rightChars="0" w:firstLine="0" w:firstLineChars="0"/>
              <w:jc w:val="center"/>
              <w:textAlignment w:val="auto"/>
              <w:outlineLvl w:val="9"/>
              <w:rPr>
                <w:rFonts w:hint="eastAsia" w:ascii="宋体" w:hAnsi="宋体"/>
                <w:b/>
              </w:rPr>
            </w:pPr>
            <w:r>
              <w:rPr>
                <w:rFonts w:hint="eastAsia" w:ascii="宋体" w:hAnsi="宋体"/>
                <w:b/>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5" w:hRule="atLeast"/>
          <w:jc w:val="center"/>
        </w:trPr>
        <w:tc>
          <w:tcPr>
            <w:tcW w:w="1279" w:type="dxa"/>
            <w:tcBorders>
              <w:tl2br w:val="nil"/>
              <w:tr2bl w:val="nil"/>
            </w:tcBorders>
            <w:vAlign w:val="center"/>
          </w:tcPr>
          <w:p>
            <w:pPr>
              <w:keepNext w:val="0"/>
              <w:keepLines w:val="0"/>
              <w:pageBreakBefore w:val="0"/>
              <w:widowControl w:val="0"/>
              <w:kinsoku/>
              <w:wordWrap/>
              <w:overflowPunct/>
              <w:topLinePunct w:val="0"/>
              <w:autoSpaceDE/>
              <w:autoSpaceDN/>
              <w:bidi w:val="0"/>
              <w:spacing w:line="4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废气</w:t>
            </w:r>
          </w:p>
        </w:tc>
        <w:tc>
          <w:tcPr>
            <w:tcW w:w="3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颗粒物：</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周界外浓度最高点：1.0 mg/m</w:t>
            </w:r>
            <w:r>
              <w:rPr>
                <w:rFonts w:hint="eastAsia" w:asciiTheme="minorEastAsia" w:hAnsiTheme="minorEastAsia" w:eastAsiaTheme="minorEastAsia" w:cstheme="minorEastAsia"/>
                <w:sz w:val="21"/>
                <w:szCs w:val="21"/>
                <w:vertAlign w:val="superscript"/>
              </w:rPr>
              <w:t>3</w:t>
            </w:r>
          </w:p>
        </w:tc>
        <w:tc>
          <w:tcPr>
            <w:tcW w:w="33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《大气污染物综合排放标准》</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（GB16297-1996）表2中颗粒物无组织监控浓度限值</w:t>
            </w:r>
          </w:p>
        </w:tc>
      </w:tr>
    </w:tbl>
    <w:p>
      <w:pPr>
        <w:pStyle w:val="5"/>
      </w:pPr>
      <w:r>
        <w:t>5.1.</w:t>
      </w:r>
      <w:r>
        <w:rPr>
          <w:rFonts w:hint="eastAsia"/>
          <w:lang w:val="en-US" w:eastAsia="zh-CN"/>
        </w:rPr>
        <w:t>2</w:t>
      </w:r>
      <w:r>
        <w:t xml:space="preserve"> </w:t>
      </w:r>
      <w:r>
        <w:rPr>
          <w:rFonts w:hint="eastAsia"/>
        </w:rPr>
        <w:t>污水</w:t>
      </w:r>
      <w:bookmarkEnd w:id="80"/>
      <w:bookmarkEnd w:id="81"/>
      <w:bookmarkEnd w:id="82"/>
    </w:p>
    <w:p>
      <w:pPr>
        <w:spacing w:line="480" w:lineRule="atLeast"/>
        <w:ind w:firstLine="480" w:firstLineChars="200"/>
        <w:rPr>
          <w:rFonts w:ascii="宋体"/>
          <w:sz w:val="24"/>
          <w:szCs w:val="24"/>
        </w:rPr>
      </w:pPr>
      <w:r>
        <w:rPr>
          <w:rFonts w:hint="eastAsia" w:ascii="宋体" w:hAnsi="宋体"/>
          <w:sz w:val="24"/>
          <w:szCs w:val="24"/>
        </w:rPr>
        <w:t>外排污水执行《钢铁工业水污染物排放标准》(GB13456-2012)表2间接排放限值，同时满足丰南区城南污水处理厂进水水质要求。标准值见表</w:t>
      </w:r>
      <w:r>
        <w:rPr>
          <w:rFonts w:ascii="宋体" w:hAnsi="宋体"/>
          <w:sz w:val="24"/>
          <w:szCs w:val="24"/>
        </w:rPr>
        <w:t>5-2</w:t>
      </w:r>
      <w:r>
        <w:rPr>
          <w:rFonts w:hint="eastAsia" w:ascii="宋体" w:hAnsi="宋体"/>
          <w:sz w:val="24"/>
          <w:szCs w:val="24"/>
        </w:rPr>
        <w:t>。</w:t>
      </w:r>
    </w:p>
    <w:p>
      <w:pPr>
        <w:spacing w:line="480" w:lineRule="atLeast"/>
        <w:jc w:val="center"/>
        <w:rPr>
          <w:rFonts w:ascii="宋体"/>
          <w:b/>
          <w:sz w:val="24"/>
          <w:szCs w:val="24"/>
        </w:rPr>
      </w:pPr>
      <w:r>
        <w:rPr>
          <w:rFonts w:hint="eastAsia" w:ascii="宋体" w:hAnsi="宋体"/>
          <w:b/>
          <w:sz w:val="24"/>
          <w:szCs w:val="24"/>
        </w:rPr>
        <w:t>表</w:t>
      </w:r>
      <w:r>
        <w:rPr>
          <w:rFonts w:ascii="宋体" w:hAnsi="宋体"/>
          <w:b/>
          <w:sz w:val="24"/>
          <w:szCs w:val="24"/>
        </w:rPr>
        <w:t>5-</w:t>
      </w:r>
      <w:r>
        <w:rPr>
          <w:rFonts w:hint="eastAsia" w:ascii="宋体" w:hAnsi="宋体"/>
          <w:b/>
          <w:sz w:val="24"/>
          <w:szCs w:val="24"/>
          <w:lang w:val="en-US" w:eastAsia="zh-CN"/>
        </w:rPr>
        <w:t>2</w:t>
      </w:r>
      <w:r>
        <w:rPr>
          <w:rFonts w:ascii="宋体" w:hAnsi="宋体"/>
          <w:b/>
          <w:sz w:val="24"/>
          <w:szCs w:val="24"/>
        </w:rPr>
        <w:t xml:space="preserve">  </w:t>
      </w:r>
      <w:r>
        <w:rPr>
          <w:rFonts w:hint="eastAsia" w:ascii="宋体" w:hAnsi="宋体"/>
          <w:b/>
          <w:sz w:val="24"/>
          <w:szCs w:val="24"/>
        </w:rPr>
        <w:t>污水执行标准</w:t>
      </w:r>
    </w:p>
    <w:tbl>
      <w:tblPr>
        <w:tblStyle w:val="35"/>
        <w:tblW w:w="83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998"/>
        <w:gridCol w:w="1372"/>
        <w:gridCol w:w="1519"/>
        <w:gridCol w:w="3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21" w:type="dxa"/>
            <w:tcBorders>
              <w:tl2br w:val="nil"/>
              <w:tr2bl w:val="nil"/>
            </w:tcBorders>
            <w:tcMar>
              <w:left w:w="28" w:type="dxa"/>
              <w:right w:w="28" w:type="dxa"/>
            </w:tcMar>
            <w:vAlign w:val="center"/>
          </w:tcPr>
          <w:p>
            <w:pPr>
              <w:jc w:val="center"/>
              <w:rPr>
                <w:rFonts w:ascii="宋体"/>
                <w:b/>
              </w:rPr>
            </w:pPr>
            <w:r>
              <w:rPr>
                <w:rFonts w:hint="eastAsia" w:ascii="宋体" w:hAnsi="宋体"/>
                <w:b/>
              </w:rPr>
              <w:t>污染源</w:t>
            </w:r>
          </w:p>
        </w:tc>
        <w:tc>
          <w:tcPr>
            <w:tcW w:w="998" w:type="dxa"/>
            <w:tcBorders>
              <w:tl2br w:val="nil"/>
              <w:tr2bl w:val="nil"/>
            </w:tcBorders>
            <w:tcMar>
              <w:left w:w="28" w:type="dxa"/>
              <w:right w:w="28" w:type="dxa"/>
            </w:tcMar>
            <w:vAlign w:val="center"/>
          </w:tcPr>
          <w:p>
            <w:pPr>
              <w:jc w:val="center"/>
              <w:rPr>
                <w:rFonts w:ascii="宋体"/>
                <w:b/>
              </w:rPr>
            </w:pPr>
            <w:r>
              <w:rPr>
                <w:rFonts w:hint="eastAsia" w:ascii="宋体" w:hAnsi="宋体"/>
                <w:b/>
              </w:rPr>
              <w:t>项目</w:t>
            </w:r>
          </w:p>
        </w:tc>
        <w:tc>
          <w:tcPr>
            <w:tcW w:w="1372" w:type="dxa"/>
            <w:tcBorders>
              <w:tl2br w:val="nil"/>
              <w:tr2bl w:val="nil"/>
            </w:tcBorders>
            <w:tcMar>
              <w:left w:w="28" w:type="dxa"/>
              <w:right w:w="28" w:type="dxa"/>
            </w:tcMar>
            <w:vAlign w:val="center"/>
          </w:tcPr>
          <w:p>
            <w:pPr>
              <w:jc w:val="center"/>
              <w:rPr>
                <w:rFonts w:ascii="宋体"/>
                <w:b/>
              </w:rPr>
            </w:pPr>
            <w:r>
              <w:rPr>
                <w:rFonts w:hint="eastAsia" w:ascii="宋体" w:hAnsi="宋体"/>
                <w:b/>
              </w:rPr>
              <w:t>标准值</w:t>
            </w:r>
          </w:p>
        </w:tc>
        <w:tc>
          <w:tcPr>
            <w:tcW w:w="1519" w:type="dxa"/>
            <w:tcBorders>
              <w:tl2br w:val="nil"/>
              <w:tr2bl w:val="nil"/>
            </w:tcBorders>
            <w:tcMar>
              <w:left w:w="28" w:type="dxa"/>
              <w:right w:w="28" w:type="dxa"/>
            </w:tcMar>
            <w:vAlign w:val="center"/>
          </w:tcPr>
          <w:p>
            <w:pPr>
              <w:jc w:val="center"/>
              <w:rPr>
                <w:rFonts w:ascii="宋体"/>
                <w:b/>
              </w:rPr>
            </w:pPr>
            <w:r>
              <w:rPr>
                <w:rFonts w:hint="eastAsia" w:ascii="宋体" w:hAnsi="宋体"/>
                <w:b/>
              </w:rPr>
              <w:t>单位</w:t>
            </w:r>
          </w:p>
        </w:tc>
        <w:tc>
          <w:tcPr>
            <w:tcW w:w="3520" w:type="dxa"/>
            <w:tcBorders>
              <w:tl2br w:val="nil"/>
              <w:tr2bl w:val="nil"/>
            </w:tcBorders>
            <w:tcMar>
              <w:left w:w="28" w:type="dxa"/>
              <w:right w:w="28" w:type="dxa"/>
            </w:tcMar>
            <w:vAlign w:val="center"/>
          </w:tcPr>
          <w:p>
            <w:pPr>
              <w:jc w:val="center"/>
              <w:rPr>
                <w:rFonts w:ascii="宋体"/>
                <w:b/>
              </w:rPr>
            </w:pPr>
            <w:r>
              <w:rPr>
                <w:rFonts w:hint="eastAsia" w:ascii="宋体" w:hAnsi="宋体"/>
                <w:b/>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21" w:type="dxa"/>
            <w:vMerge w:val="restart"/>
            <w:tcBorders>
              <w:tl2br w:val="nil"/>
              <w:tr2bl w:val="nil"/>
            </w:tcBorders>
            <w:tcMar>
              <w:left w:w="28" w:type="dxa"/>
              <w:right w:w="28" w:type="dxa"/>
            </w:tcMar>
            <w:vAlign w:val="center"/>
          </w:tcPr>
          <w:p>
            <w:pPr>
              <w:jc w:val="center"/>
              <w:rPr>
                <w:rFonts w:ascii="宋体"/>
              </w:rPr>
            </w:pPr>
            <w:r>
              <w:rPr>
                <w:rFonts w:hint="eastAsia" w:ascii="宋体" w:hAnsi="宋体"/>
              </w:rPr>
              <w:t>外排</w:t>
            </w:r>
          </w:p>
          <w:p>
            <w:pPr>
              <w:jc w:val="center"/>
              <w:rPr>
                <w:rFonts w:ascii="宋体"/>
              </w:rPr>
            </w:pPr>
            <w:r>
              <w:rPr>
                <w:rFonts w:hint="eastAsia" w:ascii="宋体" w:hAnsi="宋体"/>
              </w:rPr>
              <w:t>废水</w:t>
            </w:r>
          </w:p>
        </w:tc>
        <w:tc>
          <w:tcPr>
            <w:tcW w:w="998" w:type="dxa"/>
            <w:tcBorders>
              <w:tl2br w:val="nil"/>
              <w:tr2bl w:val="nil"/>
            </w:tcBorders>
            <w:tcMar>
              <w:left w:w="28" w:type="dxa"/>
              <w:right w:w="28" w:type="dxa"/>
            </w:tcMar>
            <w:vAlign w:val="center"/>
          </w:tcPr>
          <w:p>
            <w:pPr>
              <w:jc w:val="center"/>
              <w:rPr>
                <w:rFonts w:hint="eastAsia" w:ascii="宋体" w:hAnsi="宋体" w:eastAsia="宋体"/>
                <w:lang w:val="en-US" w:eastAsia="zh-CN"/>
              </w:rPr>
            </w:pPr>
            <w:r>
              <w:rPr>
                <w:rFonts w:hint="eastAsia" w:ascii="宋体" w:hAnsi="宋体"/>
                <w:lang w:val="en-US" w:eastAsia="zh-CN"/>
              </w:rPr>
              <w:t>pH</w:t>
            </w:r>
          </w:p>
        </w:tc>
        <w:tc>
          <w:tcPr>
            <w:tcW w:w="1372" w:type="dxa"/>
            <w:tcBorders>
              <w:tl2br w:val="nil"/>
              <w:tr2bl w:val="nil"/>
            </w:tcBorders>
            <w:tcMar>
              <w:left w:w="28" w:type="dxa"/>
              <w:right w:w="28" w:type="dxa"/>
            </w:tcMar>
            <w:vAlign w:val="center"/>
          </w:tcPr>
          <w:p>
            <w:pPr>
              <w:jc w:val="center"/>
              <w:rPr>
                <w:rFonts w:hint="eastAsia" w:ascii="宋体" w:hAnsi="宋体" w:eastAsia="宋体"/>
                <w:lang w:val="en-US" w:eastAsia="zh-CN"/>
              </w:rPr>
            </w:pPr>
            <w:r>
              <w:rPr>
                <w:rFonts w:hint="eastAsia" w:ascii="宋体" w:hAnsi="宋体"/>
                <w:lang w:val="en-US" w:eastAsia="zh-CN"/>
              </w:rPr>
              <w:t>6</w:t>
            </w:r>
            <w:r>
              <w:rPr>
                <w:rFonts w:hint="default" w:ascii="Times New Roman" w:hAnsi="Times New Roman" w:cs="Times New Roman"/>
                <w:lang w:val="en-US" w:eastAsia="zh-CN"/>
              </w:rPr>
              <w:t>~</w:t>
            </w:r>
            <w:r>
              <w:rPr>
                <w:rFonts w:hint="eastAsia" w:ascii="宋体" w:hAnsi="宋体"/>
                <w:lang w:val="en-US" w:eastAsia="zh-CN"/>
              </w:rPr>
              <w:t>9</w:t>
            </w:r>
          </w:p>
        </w:tc>
        <w:tc>
          <w:tcPr>
            <w:tcW w:w="1519" w:type="dxa"/>
            <w:tcBorders>
              <w:tl2br w:val="nil"/>
              <w:tr2bl w:val="nil"/>
            </w:tcBorders>
            <w:tcMar>
              <w:left w:w="28" w:type="dxa"/>
              <w:right w:w="28" w:type="dxa"/>
            </w:tcMar>
            <w:vAlign w:val="center"/>
          </w:tcPr>
          <w:p>
            <w:pPr>
              <w:jc w:val="center"/>
              <w:rPr>
                <w:rFonts w:hint="eastAsia" w:ascii="宋体" w:hAnsi="宋体" w:eastAsia="宋体"/>
                <w:lang w:eastAsia="zh-CN"/>
              </w:rPr>
            </w:pPr>
            <w:r>
              <w:rPr>
                <w:rFonts w:hint="eastAsia" w:ascii="宋体" w:hAnsi="宋体"/>
                <w:lang w:eastAsia="zh-CN"/>
              </w:rPr>
              <w:t>无量纲</w:t>
            </w:r>
          </w:p>
        </w:tc>
        <w:tc>
          <w:tcPr>
            <w:tcW w:w="3520" w:type="dxa"/>
            <w:vMerge w:val="restart"/>
            <w:tcBorders>
              <w:tl2br w:val="nil"/>
              <w:tr2bl w:val="nil"/>
            </w:tcBorders>
            <w:tcMar>
              <w:left w:w="28" w:type="dxa"/>
              <w:right w:w="28" w:type="dxa"/>
            </w:tcMar>
            <w:vAlign w:val="center"/>
          </w:tcPr>
          <w:p>
            <w:pPr>
              <w:jc w:val="center"/>
              <w:rPr>
                <w:rFonts w:hint="eastAsia" w:ascii="宋体"/>
                <w:spacing w:val="-6"/>
              </w:rPr>
            </w:pPr>
            <w:r>
              <w:rPr>
                <w:rFonts w:hint="eastAsia" w:ascii="宋体"/>
                <w:spacing w:val="-6"/>
              </w:rPr>
              <w:t>《钢铁工业水污染物排放标准》(GB13456-2012)表2间接</w:t>
            </w:r>
          </w:p>
          <w:p>
            <w:pPr>
              <w:jc w:val="center"/>
              <w:rPr>
                <w:rFonts w:ascii="宋体"/>
                <w:spacing w:val="-6"/>
              </w:rPr>
            </w:pPr>
            <w:r>
              <w:rPr>
                <w:rFonts w:hint="eastAsia" w:ascii="宋体"/>
                <w:spacing w:val="-6"/>
              </w:rPr>
              <w:t>排放限值</w:t>
            </w:r>
            <w:r>
              <w:rPr>
                <w:rFonts w:hint="eastAsia" w:ascii="宋体"/>
                <w:spacing w:val="-6"/>
                <w:lang w:eastAsia="zh-CN"/>
              </w:rPr>
              <w:t>，</w:t>
            </w:r>
            <w:r>
              <w:rPr>
                <w:rFonts w:hint="eastAsia" w:ascii="宋体"/>
                <w:spacing w:val="-6"/>
              </w:rPr>
              <w:t>同时满足丰南区城南污水处理厂进水水质要求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21" w:type="dxa"/>
            <w:vMerge w:val="continue"/>
            <w:tcBorders>
              <w:tl2br w:val="nil"/>
              <w:tr2bl w:val="nil"/>
            </w:tcBorders>
            <w:tcMar>
              <w:left w:w="28" w:type="dxa"/>
              <w:right w:w="28" w:type="dxa"/>
            </w:tcMar>
            <w:vAlign w:val="center"/>
          </w:tcPr>
          <w:p>
            <w:pPr>
              <w:jc w:val="center"/>
              <w:rPr>
                <w:rFonts w:ascii="宋体"/>
              </w:rPr>
            </w:pPr>
          </w:p>
        </w:tc>
        <w:tc>
          <w:tcPr>
            <w:tcW w:w="998" w:type="dxa"/>
            <w:tcBorders>
              <w:tl2br w:val="nil"/>
              <w:tr2bl w:val="nil"/>
            </w:tcBorders>
            <w:tcMar>
              <w:left w:w="28" w:type="dxa"/>
              <w:right w:w="28" w:type="dxa"/>
            </w:tcMar>
            <w:vAlign w:val="center"/>
          </w:tcPr>
          <w:p>
            <w:pPr>
              <w:jc w:val="center"/>
              <w:rPr>
                <w:rFonts w:ascii="宋体"/>
              </w:rPr>
            </w:pPr>
            <w:r>
              <w:rPr>
                <w:rFonts w:ascii="宋体" w:hAnsi="宋体"/>
              </w:rPr>
              <w:t>SS</w:t>
            </w:r>
          </w:p>
        </w:tc>
        <w:tc>
          <w:tcPr>
            <w:tcW w:w="1372" w:type="dxa"/>
            <w:tcBorders>
              <w:tl2br w:val="nil"/>
              <w:tr2bl w:val="nil"/>
            </w:tcBorders>
            <w:tcMar>
              <w:left w:w="28" w:type="dxa"/>
              <w:right w:w="28" w:type="dxa"/>
            </w:tcMar>
            <w:vAlign w:val="center"/>
          </w:tcPr>
          <w:p>
            <w:pPr>
              <w:jc w:val="center"/>
              <w:rPr>
                <w:rFonts w:hint="eastAsia" w:ascii="宋体" w:eastAsia="宋体"/>
                <w:lang w:val="en-US" w:eastAsia="zh-CN"/>
              </w:rPr>
            </w:pPr>
            <w:r>
              <w:rPr>
                <w:rFonts w:hint="eastAsia" w:ascii="宋体"/>
                <w:lang w:val="en-US" w:eastAsia="zh-CN"/>
              </w:rPr>
              <w:t>100</w:t>
            </w:r>
          </w:p>
        </w:tc>
        <w:tc>
          <w:tcPr>
            <w:tcW w:w="1519" w:type="dxa"/>
            <w:vMerge w:val="restart"/>
            <w:tcBorders>
              <w:tl2br w:val="nil"/>
              <w:tr2bl w:val="nil"/>
            </w:tcBorders>
            <w:tcMar>
              <w:left w:w="28" w:type="dxa"/>
              <w:right w:w="28" w:type="dxa"/>
            </w:tcMar>
            <w:vAlign w:val="center"/>
          </w:tcPr>
          <w:p>
            <w:pPr>
              <w:jc w:val="center"/>
              <w:rPr>
                <w:rFonts w:ascii="宋体"/>
              </w:rPr>
            </w:pPr>
            <w:r>
              <w:rPr>
                <w:rFonts w:ascii="宋体" w:hAnsi="宋体"/>
              </w:rPr>
              <w:t>mg/L</w:t>
            </w:r>
          </w:p>
        </w:tc>
        <w:tc>
          <w:tcPr>
            <w:tcW w:w="3520" w:type="dxa"/>
            <w:vMerge w:val="continue"/>
            <w:tcBorders>
              <w:tl2br w:val="nil"/>
              <w:tr2bl w:val="nil"/>
            </w:tcBorders>
            <w:tcMar>
              <w:left w:w="28" w:type="dxa"/>
              <w:right w:w="28" w:type="dxa"/>
            </w:tcMar>
            <w:vAlign w:val="center"/>
          </w:tcPr>
          <w:p>
            <w:pPr>
              <w:jc w:val="center"/>
              <w:rPr>
                <w:rFonts w:ascii="宋体"/>
                <w:spacing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21" w:type="dxa"/>
            <w:vMerge w:val="continue"/>
            <w:tcBorders>
              <w:tl2br w:val="nil"/>
              <w:tr2bl w:val="nil"/>
            </w:tcBorders>
            <w:tcMar>
              <w:left w:w="28" w:type="dxa"/>
              <w:right w:w="28" w:type="dxa"/>
            </w:tcMar>
            <w:vAlign w:val="center"/>
          </w:tcPr>
          <w:p>
            <w:pPr>
              <w:jc w:val="center"/>
              <w:rPr>
                <w:rFonts w:ascii="宋体"/>
              </w:rPr>
            </w:pPr>
          </w:p>
        </w:tc>
        <w:tc>
          <w:tcPr>
            <w:tcW w:w="998" w:type="dxa"/>
            <w:tcBorders>
              <w:tl2br w:val="nil"/>
              <w:tr2bl w:val="nil"/>
            </w:tcBorders>
            <w:tcMar>
              <w:left w:w="28" w:type="dxa"/>
              <w:right w:w="28" w:type="dxa"/>
            </w:tcMar>
            <w:vAlign w:val="center"/>
          </w:tcPr>
          <w:p>
            <w:pPr>
              <w:jc w:val="center"/>
              <w:rPr>
                <w:rFonts w:ascii="宋体"/>
              </w:rPr>
            </w:pPr>
            <w:r>
              <w:rPr>
                <w:rFonts w:ascii="宋体" w:hAnsi="宋体"/>
              </w:rPr>
              <w:t>COD</w:t>
            </w:r>
          </w:p>
        </w:tc>
        <w:tc>
          <w:tcPr>
            <w:tcW w:w="1372" w:type="dxa"/>
            <w:tcBorders>
              <w:tl2br w:val="nil"/>
              <w:tr2bl w:val="nil"/>
            </w:tcBorders>
            <w:tcMar>
              <w:left w:w="28" w:type="dxa"/>
              <w:right w:w="28" w:type="dxa"/>
            </w:tcMar>
            <w:vAlign w:val="center"/>
          </w:tcPr>
          <w:p>
            <w:pPr>
              <w:jc w:val="center"/>
              <w:rPr>
                <w:rFonts w:hint="eastAsia" w:ascii="宋体" w:eastAsia="宋体"/>
                <w:lang w:val="en-US" w:eastAsia="zh-CN"/>
              </w:rPr>
            </w:pPr>
            <w:r>
              <w:rPr>
                <w:rFonts w:hint="eastAsia" w:ascii="宋体"/>
                <w:lang w:val="en-US" w:eastAsia="zh-CN"/>
              </w:rPr>
              <w:t>200</w:t>
            </w:r>
          </w:p>
        </w:tc>
        <w:tc>
          <w:tcPr>
            <w:tcW w:w="1519" w:type="dxa"/>
            <w:vMerge w:val="continue"/>
            <w:tcBorders>
              <w:tl2br w:val="nil"/>
              <w:tr2bl w:val="nil"/>
            </w:tcBorders>
            <w:tcMar>
              <w:left w:w="28" w:type="dxa"/>
              <w:right w:w="28" w:type="dxa"/>
            </w:tcMar>
            <w:vAlign w:val="center"/>
          </w:tcPr>
          <w:p>
            <w:pPr>
              <w:jc w:val="center"/>
              <w:rPr>
                <w:rFonts w:ascii="宋体"/>
              </w:rPr>
            </w:pPr>
          </w:p>
        </w:tc>
        <w:tc>
          <w:tcPr>
            <w:tcW w:w="3520" w:type="dxa"/>
            <w:vMerge w:val="continue"/>
            <w:tcBorders>
              <w:tl2br w:val="nil"/>
              <w:tr2bl w:val="nil"/>
            </w:tcBorders>
            <w:tcMar>
              <w:left w:w="28" w:type="dxa"/>
              <w:right w:w="28" w:type="dxa"/>
            </w:tcMar>
            <w:vAlign w:val="center"/>
          </w:tcPr>
          <w:p>
            <w:pPr>
              <w:jc w:val="center"/>
              <w:rPr>
                <w:rFonts w:ascii="宋体"/>
                <w:spacing w:val="-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21" w:type="dxa"/>
            <w:vMerge w:val="continue"/>
            <w:tcBorders>
              <w:tl2br w:val="nil"/>
              <w:tr2bl w:val="nil"/>
            </w:tcBorders>
            <w:tcMar>
              <w:left w:w="28" w:type="dxa"/>
              <w:right w:w="28" w:type="dxa"/>
            </w:tcMar>
            <w:vAlign w:val="center"/>
          </w:tcPr>
          <w:p>
            <w:pPr>
              <w:jc w:val="center"/>
              <w:rPr>
                <w:rFonts w:ascii="宋体"/>
              </w:rPr>
            </w:pPr>
          </w:p>
        </w:tc>
        <w:tc>
          <w:tcPr>
            <w:tcW w:w="998" w:type="dxa"/>
            <w:tcBorders>
              <w:tl2br w:val="nil"/>
              <w:tr2bl w:val="nil"/>
            </w:tcBorders>
            <w:tcMar>
              <w:left w:w="28" w:type="dxa"/>
              <w:right w:w="28" w:type="dxa"/>
            </w:tcMar>
            <w:vAlign w:val="center"/>
          </w:tcPr>
          <w:p>
            <w:pPr>
              <w:jc w:val="center"/>
              <w:rPr>
                <w:rFonts w:ascii="宋体"/>
              </w:rPr>
            </w:pPr>
            <w:r>
              <w:rPr>
                <w:rFonts w:hint="eastAsia" w:ascii="宋体" w:hAnsi="宋体"/>
              </w:rPr>
              <w:t>氨氮</w:t>
            </w:r>
          </w:p>
        </w:tc>
        <w:tc>
          <w:tcPr>
            <w:tcW w:w="1372" w:type="dxa"/>
            <w:tcBorders>
              <w:tl2br w:val="nil"/>
              <w:tr2bl w:val="nil"/>
            </w:tcBorders>
            <w:tcMar>
              <w:left w:w="28" w:type="dxa"/>
              <w:right w:w="28" w:type="dxa"/>
            </w:tcMar>
            <w:vAlign w:val="center"/>
          </w:tcPr>
          <w:p>
            <w:pPr>
              <w:jc w:val="center"/>
              <w:rPr>
                <w:rFonts w:hint="eastAsia" w:ascii="宋体" w:eastAsia="宋体"/>
                <w:lang w:val="en-US" w:eastAsia="zh-CN"/>
              </w:rPr>
            </w:pPr>
            <w:r>
              <w:rPr>
                <w:rFonts w:hint="eastAsia" w:ascii="宋体"/>
                <w:lang w:val="en-US" w:eastAsia="zh-CN"/>
              </w:rPr>
              <w:t>15</w:t>
            </w:r>
          </w:p>
        </w:tc>
        <w:tc>
          <w:tcPr>
            <w:tcW w:w="1519" w:type="dxa"/>
            <w:vMerge w:val="continue"/>
            <w:tcBorders>
              <w:tl2br w:val="nil"/>
              <w:tr2bl w:val="nil"/>
            </w:tcBorders>
            <w:tcMar>
              <w:left w:w="28" w:type="dxa"/>
              <w:right w:w="28" w:type="dxa"/>
            </w:tcMar>
            <w:vAlign w:val="center"/>
          </w:tcPr>
          <w:p>
            <w:pPr>
              <w:jc w:val="center"/>
              <w:rPr>
                <w:rFonts w:ascii="宋体"/>
              </w:rPr>
            </w:pPr>
          </w:p>
        </w:tc>
        <w:tc>
          <w:tcPr>
            <w:tcW w:w="3520" w:type="dxa"/>
            <w:vMerge w:val="continue"/>
            <w:tcBorders>
              <w:tl2br w:val="nil"/>
              <w:tr2bl w:val="nil"/>
            </w:tcBorders>
            <w:tcMar>
              <w:left w:w="28" w:type="dxa"/>
              <w:right w:w="28" w:type="dxa"/>
            </w:tcMar>
            <w:vAlign w:val="center"/>
          </w:tcPr>
          <w:p>
            <w:pPr>
              <w:jc w:val="center"/>
              <w:rPr>
                <w:rFonts w:ascii="宋体"/>
                <w:spacing w:val="-6"/>
              </w:rPr>
            </w:pPr>
          </w:p>
        </w:tc>
      </w:tr>
    </w:tbl>
    <w:p>
      <w:pPr>
        <w:pStyle w:val="5"/>
      </w:pPr>
      <w:bookmarkStart w:id="83" w:name="_Toc497001476"/>
      <w:bookmarkStart w:id="84" w:name="_Toc496979037"/>
      <w:bookmarkStart w:id="85" w:name="_Toc503884770"/>
      <w:r>
        <w:t>5.1.2</w:t>
      </w:r>
      <w:r>
        <w:rPr>
          <w:rFonts w:hint="eastAsia"/>
        </w:rPr>
        <w:t>噪声</w:t>
      </w:r>
      <w:bookmarkEnd w:id="83"/>
      <w:bookmarkEnd w:id="84"/>
      <w:bookmarkEnd w:id="85"/>
    </w:p>
    <w:p>
      <w:pPr>
        <w:spacing w:line="480" w:lineRule="atLeast"/>
        <w:ind w:firstLine="480" w:firstLineChars="200"/>
        <w:rPr>
          <w:rFonts w:ascii="宋体"/>
          <w:b/>
          <w:sz w:val="24"/>
          <w:szCs w:val="24"/>
        </w:rPr>
      </w:pPr>
      <w:r>
        <w:rPr>
          <w:rFonts w:hint="eastAsia" w:ascii="宋体" w:hAnsi="宋体"/>
          <w:sz w:val="24"/>
          <w:szCs w:val="24"/>
        </w:rPr>
        <w:t>运营期噪声执行《工业企业厂界环境噪声排放标准》（</w:t>
      </w:r>
      <w:r>
        <w:rPr>
          <w:rFonts w:ascii="宋体" w:hAnsi="宋体"/>
          <w:sz w:val="24"/>
          <w:szCs w:val="24"/>
        </w:rPr>
        <w:t>GB12348-2008</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类标准要求。标准值见表</w:t>
      </w:r>
      <w:r>
        <w:rPr>
          <w:rFonts w:ascii="宋体" w:hAnsi="宋体"/>
          <w:sz w:val="24"/>
          <w:szCs w:val="24"/>
        </w:rPr>
        <w:t>5-</w:t>
      </w:r>
      <w:r>
        <w:rPr>
          <w:rFonts w:hint="eastAsia" w:ascii="宋体" w:hAnsi="宋体"/>
          <w:sz w:val="24"/>
          <w:szCs w:val="24"/>
          <w:lang w:val="en-US" w:eastAsia="zh-CN"/>
        </w:rPr>
        <w:t>3</w:t>
      </w:r>
      <w:r>
        <w:rPr>
          <w:rFonts w:hint="eastAsia" w:ascii="宋体" w:hAnsi="宋体"/>
          <w:sz w:val="24"/>
          <w:szCs w:val="24"/>
        </w:rPr>
        <w:t>。</w:t>
      </w:r>
    </w:p>
    <w:p>
      <w:pPr>
        <w:spacing w:line="360" w:lineRule="auto"/>
        <w:jc w:val="center"/>
        <w:rPr>
          <w:rFonts w:ascii="宋体"/>
          <w:b/>
          <w:sz w:val="24"/>
          <w:szCs w:val="24"/>
        </w:rPr>
      </w:pPr>
      <w:r>
        <w:rPr>
          <w:rFonts w:hint="eastAsia" w:ascii="宋体" w:hAnsi="宋体"/>
          <w:b/>
          <w:sz w:val="24"/>
          <w:szCs w:val="24"/>
        </w:rPr>
        <w:t>表</w:t>
      </w:r>
      <w:r>
        <w:rPr>
          <w:rFonts w:ascii="宋体" w:hAnsi="宋体"/>
          <w:b/>
          <w:sz w:val="24"/>
          <w:szCs w:val="24"/>
        </w:rPr>
        <w:t>5-</w:t>
      </w:r>
      <w:r>
        <w:rPr>
          <w:rFonts w:hint="eastAsia" w:ascii="宋体" w:hAnsi="宋体"/>
          <w:b/>
          <w:sz w:val="24"/>
          <w:szCs w:val="24"/>
          <w:lang w:val="en-US" w:eastAsia="zh-CN"/>
        </w:rPr>
        <w:t>3</w:t>
      </w:r>
      <w:r>
        <w:rPr>
          <w:rFonts w:ascii="宋体" w:hAnsi="宋体"/>
          <w:b/>
          <w:sz w:val="24"/>
          <w:szCs w:val="24"/>
        </w:rPr>
        <w:t xml:space="preserve">  </w:t>
      </w:r>
      <w:r>
        <w:rPr>
          <w:rFonts w:hint="eastAsia" w:ascii="宋体" w:hAnsi="宋体"/>
          <w:b/>
          <w:sz w:val="24"/>
          <w:szCs w:val="24"/>
        </w:rPr>
        <w:t>厂界噪声排放标准</w:t>
      </w:r>
    </w:p>
    <w:tbl>
      <w:tblPr>
        <w:tblStyle w:val="35"/>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6"/>
        <w:gridCol w:w="1405"/>
        <w:gridCol w:w="1405"/>
        <w:gridCol w:w="1843"/>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86" w:type="dxa"/>
            <w:vAlign w:val="center"/>
          </w:tcPr>
          <w:p>
            <w:pPr>
              <w:pStyle w:val="23"/>
              <w:spacing w:line="300" w:lineRule="exact"/>
              <w:ind w:firstLineChars="0"/>
              <w:jc w:val="center"/>
              <w:rPr>
                <w:rFonts w:hAnsi="宋体"/>
                <w:b/>
                <w:bCs/>
              </w:rPr>
            </w:pPr>
            <w:r>
              <w:rPr>
                <w:rFonts w:hint="eastAsia" w:hAnsi="宋体"/>
                <w:b/>
                <w:bCs/>
              </w:rPr>
              <w:t>环境要素</w:t>
            </w:r>
          </w:p>
        </w:tc>
        <w:tc>
          <w:tcPr>
            <w:tcW w:w="1405" w:type="dxa"/>
            <w:vAlign w:val="center"/>
          </w:tcPr>
          <w:p>
            <w:pPr>
              <w:pStyle w:val="23"/>
              <w:spacing w:line="300" w:lineRule="exact"/>
              <w:jc w:val="center"/>
              <w:rPr>
                <w:rFonts w:hAnsi="宋体"/>
                <w:b/>
                <w:bCs/>
              </w:rPr>
            </w:pPr>
            <w:r>
              <w:rPr>
                <w:rFonts w:hint="eastAsia" w:hAnsi="宋体"/>
                <w:b/>
                <w:bCs/>
              </w:rPr>
              <w:t>类别</w:t>
            </w:r>
          </w:p>
        </w:tc>
        <w:tc>
          <w:tcPr>
            <w:tcW w:w="1405" w:type="dxa"/>
            <w:vAlign w:val="center"/>
          </w:tcPr>
          <w:p>
            <w:pPr>
              <w:pStyle w:val="23"/>
              <w:spacing w:line="300" w:lineRule="exact"/>
              <w:jc w:val="center"/>
              <w:rPr>
                <w:rFonts w:hAnsi="宋体"/>
                <w:b/>
                <w:bCs/>
              </w:rPr>
            </w:pPr>
            <w:r>
              <w:rPr>
                <w:rFonts w:hint="eastAsia" w:hAnsi="宋体"/>
                <w:b/>
                <w:bCs/>
              </w:rPr>
              <w:t>时段</w:t>
            </w:r>
          </w:p>
        </w:tc>
        <w:tc>
          <w:tcPr>
            <w:tcW w:w="1843" w:type="dxa"/>
            <w:vAlign w:val="center"/>
          </w:tcPr>
          <w:p>
            <w:pPr>
              <w:pStyle w:val="23"/>
              <w:spacing w:line="300" w:lineRule="exact"/>
              <w:jc w:val="center"/>
              <w:rPr>
                <w:rFonts w:hAnsi="宋体"/>
                <w:b/>
                <w:bCs/>
              </w:rPr>
            </w:pPr>
            <w:r>
              <w:rPr>
                <w:rFonts w:hint="eastAsia" w:hAnsi="宋体"/>
                <w:b/>
                <w:bCs/>
              </w:rPr>
              <w:t>标准值</w:t>
            </w:r>
          </w:p>
        </w:tc>
        <w:tc>
          <w:tcPr>
            <w:tcW w:w="1479" w:type="dxa"/>
            <w:vAlign w:val="center"/>
          </w:tcPr>
          <w:p>
            <w:pPr>
              <w:pStyle w:val="23"/>
              <w:spacing w:line="300" w:lineRule="exact"/>
              <w:jc w:val="center"/>
              <w:rPr>
                <w:rFonts w:hAnsi="宋体"/>
                <w:b/>
                <w:bCs/>
              </w:rPr>
            </w:pPr>
            <w:r>
              <w:rPr>
                <w:rFonts w:hint="eastAsia" w:hAnsi="宋体"/>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86" w:type="dxa"/>
            <w:vMerge w:val="restart"/>
            <w:vAlign w:val="center"/>
          </w:tcPr>
          <w:p>
            <w:pPr>
              <w:spacing w:line="300" w:lineRule="exact"/>
              <w:jc w:val="center"/>
              <w:rPr>
                <w:rFonts w:ascii="宋体"/>
                <w:szCs w:val="21"/>
              </w:rPr>
            </w:pPr>
            <w:r>
              <w:rPr>
                <w:rFonts w:hint="eastAsia" w:ascii="宋体" w:hAnsi="宋体"/>
                <w:bCs/>
                <w:szCs w:val="21"/>
              </w:rPr>
              <w:t>厂界环境</w:t>
            </w:r>
          </w:p>
        </w:tc>
        <w:tc>
          <w:tcPr>
            <w:tcW w:w="1405" w:type="dxa"/>
            <w:vMerge w:val="restart"/>
            <w:vAlign w:val="center"/>
          </w:tcPr>
          <w:p>
            <w:pPr>
              <w:spacing w:line="300" w:lineRule="exact"/>
              <w:jc w:val="center"/>
              <w:rPr>
                <w:rFonts w:ascii="宋体"/>
                <w:szCs w:val="21"/>
              </w:rPr>
            </w:pPr>
            <w:r>
              <w:rPr>
                <w:rFonts w:hint="eastAsia" w:ascii="宋体" w:hAnsi="宋体"/>
                <w:szCs w:val="21"/>
                <w:lang w:val="en-US" w:eastAsia="zh-CN"/>
              </w:rPr>
              <w:t>3</w:t>
            </w:r>
            <w:r>
              <w:rPr>
                <w:rFonts w:hint="eastAsia" w:ascii="宋体" w:hAnsi="宋体"/>
                <w:szCs w:val="21"/>
              </w:rPr>
              <w:t>类</w:t>
            </w:r>
          </w:p>
        </w:tc>
        <w:tc>
          <w:tcPr>
            <w:tcW w:w="1405" w:type="dxa"/>
            <w:vAlign w:val="center"/>
          </w:tcPr>
          <w:p>
            <w:pPr>
              <w:spacing w:line="300" w:lineRule="exact"/>
              <w:jc w:val="center"/>
              <w:rPr>
                <w:rFonts w:ascii="宋体"/>
                <w:szCs w:val="21"/>
              </w:rPr>
            </w:pPr>
            <w:r>
              <w:rPr>
                <w:rFonts w:hint="eastAsia" w:ascii="宋体" w:hAnsi="宋体"/>
                <w:szCs w:val="21"/>
              </w:rPr>
              <w:t>昼间</w:t>
            </w:r>
          </w:p>
        </w:tc>
        <w:tc>
          <w:tcPr>
            <w:tcW w:w="1843" w:type="dxa"/>
            <w:vAlign w:val="center"/>
          </w:tcPr>
          <w:p>
            <w:pPr>
              <w:spacing w:line="300" w:lineRule="exact"/>
              <w:jc w:val="center"/>
              <w:rPr>
                <w:rFonts w:ascii="宋体"/>
                <w:szCs w:val="21"/>
              </w:rPr>
            </w:pPr>
            <w:r>
              <w:rPr>
                <w:rFonts w:ascii="宋体" w:hAnsi="宋体"/>
                <w:szCs w:val="21"/>
              </w:rPr>
              <w:t>6</w:t>
            </w:r>
            <w:r>
              <w:rPr>
                <w:rFonts w:hint="eastAsia" w:ascii="宋体" w:hAnsi="宋体"/>
                <w:szCs w:val="21"/>
                <w:lang w:val="en-US" w:eastAsia="zh-CN"/>
              </w:rPr>
              <w:t>5</w:t>
            </w:r>
          </w:p>
        </w:tc>
        <w:tc>
          <w:tcPr>
            <w:tcW w:w="1479" w:type="dxa"/>
            <w:vMerge w:val="restart"/>
            <w:vAlign w:val="center"/>
          </w:tcPr>
          <w:p>
            <w:pPr>
              <w:spacing w:line="300" w:lineRule="exact"/>
              <w:jc w:val="center"/>
              <w:rPr>
                <w:rFonts w:ascii="宋体"/>
                <w:szCs w:val="21"/>
              </w:rPr>
            </w:pPr>
            <w:r>
              <w:rPr>
                <w:rFonts w:ascii="宋体" w:hAnsi="宋体"/>
                <w:bCs/>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86" w:type="dxa"/>
            <w:vMerge w:val="continue"/>
            <w:vAlign w:val="center"/>
          </w:tcPr>
          <w:p>
            <w:pPr>
              <w:spacing w:line="300" w:lineRule="exact"/>
              <w:jc w:val="center"/>
              <w:rPr>
                <w:rFonts w:ascii="宋体"/>
                <w:szCs w:val="21"/>
              </w:rPr>
            </w:pPr>
          </w:p>
        </w:tc>
        <w:tc>
          <w:tcPr>
            <w:tcW w:w="1405" w:type="dxa"/>
            <w:vMerge w:val="continue"/>
            <w:vAlign w:val="center"/>
          </w:tcPr>
          <w:p>
            <w:pPr>
              <w:spacing w:line="300" w:lineRule="exact"/>
              <w:jc w:val="center"/>
              <w:rPr>
                <w:rFonts w:ascii="宋体"/>
                <w:szCs w:val="21"/>
              </w:rPr>
            </w:pPr>
          </w:p>
        </w:tc>
        <w:tc>
          <w:tcPr>
            <w:tcW w:w="1405" w:type="dxa"/>
            <w:vAlign w:val="center"/>
          </w:tcPr>
          <w:p>
            <w:pPr>
              <w:spacing w:line="300" w:lineRule="exact"/>
              <w:jc w:val="center"/>
              <w:rPr>
                <w:rFonts w:ascii="宋体"/>
                <w:szCs w:val="21"/>
              </w:rPr>
            </w:pPr>
            <w:r>
              <w:rPr>
                <w:rFonts w:hint="eastAsia" w:ascii="宋体" w:hAnsi="宋体"/>
                <w:szCs w:val="21"/>
              </w:rPr>
              <w:t>夜间</w:t>
            </w:r>
          </w:p>
        </w:tc>
        <w:tc>
          <w:tcPr>
            <w:tcW w:w="1843" w:type="dxa"/>
            <w:vAlign w:val="center"/>
          </w:tcPr>
          <w:p>
            <w:pPr>
              <w:spacing w:line="300" w:lineRule="exact"/>
              <w:jc w:val="center"/>
              <w:rPr>
                <w:rFonts w:ascii="宋体"/>
                <w:szCs w:val="21"/>
              </w:rPr>
            </w:pPr>
            <w:r>
              <w:rPr>
                <w:rFonts w:ascii="宋体" w:hAnsi="宋体"/>
                <w:szCs w:val="21"/>
              </w:rPr>
              <w:t>5</w:t>
            </w:r>
            <w:r>
              <w:rPr>
                <w:rFonts w:hint="eastAsia" w:ascii="宋体" w:hAnsi="宋体"/>
                <w:szCs w:val="21"/>
                <w:lang w:val="en-US" w:eastAsia="zh-CN"/>
              </w:rPr>
              <w:t>5</w:t>
            </w:r>
          </w:p>
        </w:tc>
        <w:tc>
          <w:tcPr>
            <w:tcW w:w="1479" w:type="dxa"/>
            <w:vMerge w:val="continue"/>
            <w:vAlign w:val="center"/>
          </w:tcPr>
          <w:p>
            <w:pPr>
              <w:spacing w:line="300" w:lineRule="exact"/>
              <w:jc w:val="center"/>
              <w:rPr>
                <w:rFonts w:ascii="宋体"/>
                <w:szCs w:val="21"/>
              </w:rPr>
            </w:pPr>
          </w:p>
        </w:tc>
      </w:tr>
    </w:tbl>
    <w:p>
      <w:pPr>
        <w:pStyle w:val="4"/>
      </w:pPr>
      <w:bookmarkStart w:id="86" w:name="_Toc503884771"/>
      <w:r>
        <w:br w:type="page"/>
      </w:r>
      <w:r>
        <w:t xml:space="preserve">5.2 </w:t>
      </w:r>
      <w:r>
        <w:rPr>
          <w:rFonts w:hint="eastAsia"/>
        </w:rPr>
        <w:t>总量控制指标</w:t>
      </w:r>
      <w:bookmarkEnd w:id="86"/>
    </w:p>
    <w:p>
      <w:pPr>
        <w:spacing w:line="440" w:lineRule="atLeast"/>
        <w:ind w:firstLine="480" w:firstLineChars="200"/>
        <w:rPr>
          <w:rFonts w:ascii="宋体"/>
          <w:sz w:val="24"/>
          <w:szCs w:val="24"/>
        </w:rPr>
      </w:pPr>
      <w:r>
        <w:rPr>
          <w:rFonts w:hint="eastAsia" w:ascii="宋体" w:hAnsi="宋体"/>
          <w:sz w:val="24"/>
        </w:rPr>
        <w:t>根据项目生产工艺，生产过程中不存在产生SO</w:t>
      </w:r>
      <w:r>
        <w:rPr>
          <w:rFonts w:hint="eastAsia" w:ascii="宋体" w:hAnsi="宋体"/>
          <w:sz w:val="24"/>
          <w:vertAlign w:val="subscript"/>
        </w:rPr>
        <w:t>2</w:t>
      </w:r>
      <w:r>
        <w:rPr>
          <w:rFonts w:hint="eastAsia" w:ascii="宋体" w:hAnsi="宋体"/>
          <w:sz w:val="24"/>
        </w:rPr>
        <w:t>、NOx等废气重点污染物的生产工序；项目生产废水经处理后全部返回生产系统循环使用，不外排。食堂废水经厂区现有隔油池处理后和生活污水一起进入厂区现有化粪池处理，处理后经开发区污水管网排入丰南区城南污水处理厂处理</w:t>
      </w:r>
      <w:r>
        <w:rPr>
          <w:rFonts w:hint="eastAsia" w:ascii="宋体" w:hAnsi="宋体"/>
          <w:sz w:val="24"/>
          <w:lang w:eastAsia="zh-CN"/>
        </w:rPr>
        <w:t>。</w:t>
      </w:r>
    </w:p>
    <w:p>
      <w:pPr>
        <w:pStyle w:val="3"/>
      </w:pPr>
      <w:bookmarkStart w:id="87" w:name="_Toc503884772"/>
      <w:r>
        <w:br w:type="page"/>
      </w:r>
      <w:r>
        <w:t xml:space="preserve">6 </w:t>
      </w:r>
      <w:r>
        <w:rPr>
          <w:rFonts w:hint="eastAsia"/>
        </w:rPr>
        <w:t>质量保障措施和检测分析方法</w:t>
      </w:r>
      <w:bookmarkEnd w:id="87"/>
    </w:p>
    <w:p>
      <w:pPr>
        <w:spacing w:line="440" w:lineRule="atLeast"/>
        <w:ind w:firstLine="480" w:firstLineChars="200"/>
        <w:rPr>
          <w:rFonts w:ascii="宋体"/>
          <w:color w:val="000000"/>
          <w:sz w:val="24"/>
          <w:szCs w:val="24"/>
        </w:rPr>
      </w:pPr>
      <w:r>
        <w:rPr>
          <w:rFonts w:hint="eastAsia" w:ascii="宋体" w:hAnsi="宋体"/>
          <w:sz w:val="24"/>
          <w:szCs w:val="24"/>
        </w:rPr>
        <w:t>沧州燕赵环境监测技术服务有限公司</w:t>
      </w:r>
      <w:r>
        <w:rPr>
          <w:rFonts w:hint="eastAsia" w:ascii="宋体" w:hAnsi="宋体"/>
          <w:color w:val="000000"/>
          <w:sz w:val="24"/>
          <w:szCs w:val="24"/>
        </w:rPr>
        <w:t>于</w:t>
      </w:r>
      <w:r>
        <w:rPr>
          <w:rFonts w:ascii="宋体" w:hAnsi="宋体"/>
          <w:color w:val="000000"/>
          <w:sz w:val="24"/>
          <w:szCs w:val="24"/>
        </w:rPr>
        <w:t>2018</w:t>
      </w:r>
      <w:r>
        <w:rPr>
          <w:rFonts w:hint="eastAsia" w:ascii="宋体" w:hAnsi="宋体"/>
          <w:color w:val="000000"/>
          <w:sz w:val="24"/>
          <w:szCs w:val="24"/>
        </w:rPr>
        <w:t>年</w:t>
      </w:r>
      <w:r>
        <w:rPr>
          <w:rFonts w:ascii="宋体" w:hAnsi="宋体"/>
          <w:color w:val="000000"/>
          <w:sz w:val="24"/>
          <w:szCs w:val="24"/>
        </w:rPr>
        <w:t>01</w:t>
      </w:r>
      <w:r>
        <w:rPr>
          <w:rFonts w:hint="eastAsia" w:ascii="宋体" w:hAnsi="宋体"/>
          <w:color w:val="000000"/>
          <w:sz w:val="24"/>
          <w:szCs w:val="24"/>
        </w:rPr>
        <w:t>月</w:t>
      </w:r>
      <w:r>
        <w:rPr>
          <w:rFonts w:hint="eastAsia" w:ascii="宋体" w:hAnsi="宋体"/>
          <w:color w:val="000000"/>
          <w:sz w:val="24"/>
          <w:szCs w:val="24"/>
          <w:lang w:val="en-US" w:eastAsia="zh-CN"/>
        </w:rPr>
        <w:t>30</w:t>
      </w:r>
      <w:r>
        <w:rPr>
          <w:rFonts w:hint="eastAsia" w:ascii="宋体" w:hAnsi="宋体"/>
          <w:color w:val="000000"/>
          <w:sz w:val="24"/>
          <w:szCs w:val="24"/>
        </w:rPr>
        <w:t>日至</w:t>
      </w:r>
      <w:r>
        <w:rPr>
          <w:rFonts w:hint="eastAsia" w:ascii="宋体" w:hAnsi="宋体"/>
          <w:color w:val="000000"/>
          <w:sz w:val="24"/>
          <w:szCs w:val="24"/>
          <w:lang w:val="en-US" w:eastAsia="zh-CN"/>
        </w:rPr>
        <w:t>31</w:t>
      </w:r>
      <w:r>
        <w:rPr>
          <w:rFonts w:hint="eastAsia" w:ascii="宋体" w:hAnsi="宋体"/>
          <w:color w:val="000000"/>
          <w:sz w:val="24"/>
          <w:szCs w:val="24"/>
        </w:rPr>
        <w:t>日进行了竣工验收检测并出具检测报告。监测期间，企业生产负荷大于</w:t>
      </w:r>
      <w:r>
        <w:rPr>
          <w:rFonts w:ascii="宋体" w:hAnsi="宋体"/>
          <w:color w:val="000000"/>
          <w:sz w:val="24"/>
          <w:szCs w:val="24"/>
        </w:rPr>
        <w:t>75%</w:t>
      </w:r>
      <w:r>
        <w:rPr>
          <w:rFonts w:hint="eastAsia" w:ascii="宋体" w:hAnsi="宋体"/>
          <w:color w:val="000000"/>
          <w:sz w:val="24"/>
          <w:szCs w:val="24"/>
        </w:rPr>
        <w:t>，满足环保验收检测技术要求。</w:t>
      </w:r>
    </w:p>
    <w:p>
      <w:pPr>
        <w:pStyle w:val="4"/>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pPr>
      <w:bookmarkStart w:id="88" w:name="_Toc503884773"/>
      <w:r>
        <w:t xml:space="preserve">6.1 </w:t>
      </w:r>
      <w:r>
        <w:rPr>
          <w:rFonts w:hint="eastAsia"/>
        </w:rPr>
        <w:t>质量保障体系</w:t>
      </w:r>
      <w:bookmarkEnd w:id="88"/>
    </w:p>
    <w:p>
      <w:pPr>
        <w:spacing w:line="440" w:lineRule="atLeast"/>
        <w:ind w:firstLine="480" w:firstLineChars="200"/>
        <w:rPr>
          <w:rFonts w:ascii="宋体"/>
          <w:sz w:val="24"/>
        </w:rPr>
      </w:pPr>
      <w:bookmarkStart w:id="89" w:name="_Toc349134675"/>
      <w:r>
        <w:rPr>
          <w:rFonts w:hint="eastAsia" w:ascii="宋体" w:hAnsi="宋体"/>
          <w:sz w:val="24"/>
        </w:rPr>
        <w:t>（</w:t>
      </w:r>
      <w:r>
        <w:rPr>
          <w:rFonts w:ascii="宋体" w:hAnsi="宋体"/>
          <w:sz w:val="24"/>
        </w:rPr>
        <w:t>1</w:t>
      </w:r>
      <w:r>
        <w:rPr>
          <w:rFonts w:hint="eastAsia" w:ascii="宋体" w:hAnsi="宋体"/>
          <w:sz w:val="24"/>
        </w:rPr>
        <w:t>）严格按照《环境监测技术规范》和有关环境检测质量保证的要求进行样品采集、保存、分析等，全程进行质量控制。</w:t>
      </w:r>
    </w:p>
    <w:p>
      <w:pPr>
        <w:spacing w:line="440" w:lineRule="atLeast"/>
        <w:ind w:firstLine="480" w:firstLineChars="200"/>
        <w:rPr>
          <w:rFonts w:hint="eastAsia" w:ascii="宋体" w:hAnsi="宋体"/>
          <w:sz w:val="24"/>
        </w:rPr>
      </w:pPr>
      <w:r>
        <w:rPr>
          <w:rFonts w:hint="eastAsia" w:ascii="宋体" w:hAnsi="宋体"/>
          <w:sz w:val="24"/>
        </w:rPr>
        <w:t>（</w:t>
      </w:r>
      <w:r>
        <w:rPr>
          <w:rFonts w:ascii="宋体" w:hAnsi="宋体"/>
          <w:sz w:val="24"/>
        </w:rPr>
        <w:t>2</w:t>
      </w:r>
      <w:r>
        <w:rPr>
          <w:rFonts w:hint="eastAsia" w:ascii="宋体" w:hAnsi="宋体"/>
          <w:sz w:val="24"/>
        </w:rPr>
        <w:t>）参加本项目检测人员均持证上岗，检测仪器均经计量部门检定合格并在有效期内。</w:t>
      </w:r>
    </w:p>
    <w:p>
      <w:pPr>
        <w:spacing w:line="440" w:lineRule="atLeast"/>
        <w:ind w:firstLine="480" w:firstLineChars="200"/>
        <w:rPr>
          <w:rFonts w:ascii="宋体"/>
          <w:sz w:val="24"/>
        </w:rPr>
      </w:pPr>
      <w:r>
        <w:rPr>
          <w:rFonts w:hint="eastAsia" w:ascii="宋体" w:hAnsi="宋体" w:eastAsia="宋体" w:cs="宋体"/>
          <w:sz w:val="24"/>
          <w:szCs w:val="24"/>
        </w:rPr>
        <w:t>（</w:t>
      </w:r>
      <w:r>
        <w:rPr>
          <w:rFonts w:ascii="宋体" w:hAnsi="宋体" w:eastAsia="宋体" w:cs="宋体"/>
          <w:sz w:val="24"/>
          <w:szCs w:val="24"/>
        </w:rPr>
        <w:t>3</w:t>
      </w:r>
      <w:r>
        <w:rPr>
          <w:rFonts w:hint="eastAsia" w:ascii="宋体" w:hAnsi="宋体" w:eastAsia="宋体" w:cs="宋体"/>
          <w:sz w:val="24"/>
          <w:szCs w:val="24"/>
        </w:rPr>
        <w:t>）废气采样前对仪器流量计进行校准，并检查气密性；采样和分析过程严格按照</w:t>
      </w:r>
      <w:r>
        <w:rPr>
          <w:rFonts w:ascii="宋体" w:hAnsi="宋体" w:eastAsia="宋体" w:cs="宋体"/>
          <w:sz w:val="24"/>
          <w:szCs w:val="24"/>
        </w:rPr>
        <w:t>GB16297-1996</w:t>
      </w:r>
      <w:r>
        <w:rPr>
          <w:rFonts w:hint="eastAsia" w:ascii="宋体" w:hAnsi="宋体" w:eastAsia="宋体" w:cs="宋体"/>
          <w:sz w:val="24"/>
          <w:szCs w:val="24"/>
        </w:rPr>
        <w:t>和《空气和废气监测分析方法》（第四版）进行。</w:t>
      </w:r>
    </w:p>
    <w:p>
      <w:pPr>
        <w:spacing w:line="440" w:lineRule="atLeast"/>
        <w:ind w:firstLine="480" w:firstLineChars="200"/>
        <w:rPr>
          <w:rFonts w:asci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w:t>
      </w:r>
      <w:r>
        <w:rPr>
          <w:rFonts w:hint="eastAsia" w:ascii="宋体" w:hAnsi="宋体" w:cs="宋体"/>
          <w:sz w:val="24"/>
        </w:rPr>
        <w:t>废水监测，废水监测仪器符合国家有关标准或技术要求。采样、运输、保存、分析全过程严格按照《地表水和污水监测技术规范》和《环境水质监测质量保证手册（第二版）》规定执行。质控采用质控样品或平行双样等，达到了每批分析样品量的</w:t>
      </w:r>
      <w:r>
        <w:rPr>
          <w:sz w:val="24"/>
        </w:rPr>
        <w:t>10%</w:t>
      </w:r>
      <w:r>
        <w:rPr>
          <w:rFonts w:hint="eastAsia" w:ascii="宋体" w:hAnsi="宋体" w:cs="宋体"/>
          <w:sz w:val="24"/>
        </w:rPr>
        <w:t>以上，且质控数据合格。</w:t>
      </w:r>
    </w:p>
    <w:p>
      <w:pPr>
        <w:spacing w:line="440" w:lineRule="atLeast"/>
        <w:ind w:firstLine="480" w:firstLineChars="200"/>
        <w:rPr>
          <w:rFonts w:asci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）声级计测量前后均经标准声源校准且合格，测试时无雨雪，无雷电，风速小于</w:t>
      </w:r>
      <w:r>
        <w:rPr>
          <w:rFonts w:ascii="宋体" w:hAnsi="宋体"/>
          <w:sz w:val="24"/>
        </w:rPr>
        <w:t>5.0m/s</w:t>
      </w:r>
      <w:r>
        <w:rPr>
          <w:rFonts w:hint="eastAsia" w:ascii="宋体" w:hAnsi="宋体"/>
          <w:sz w:val="24"/>
        </w:rPr>
        <w:t>。</w:t>
      </w:r>
    </w:p>
    <w:p>
      <w:pPr>
        <w:spacing w:line="440" w:lineRule="atLeast"/>
        <w:ind w:firstLine="480" w:firstLineChars="200"/>
        <w:rPr>
          <w:rFonts w:ascii="宋体"/>
          <w:sz w:val="24"/>
        </w:rPr>
      </w:pPr>
      <w:r>
        <w:rPr>
          <w:rFonts w:hint="eastAsia" w:ascii="宋体" w:hAnsi="宋体"/>
          <w:sz w:val="24"/>
        </w:rPr>
        <w:t>（</w:t>
      </w:r>
      <w:r>
        <w:rPr>
          <w:rFonts w:hint="eastAsia" w:ascii="宋体" w:hAnsi="宋体"/>
          <w:sz w:val="24"/>
          <w:lang w:val="en-US" w:eastAsia="zh-CN"/>
        </w:rPr>
        <w:t>6</w:t>
      </w:r>
      <w:r>
        <w:rPr>
          <w:rFonts w:hint="eastAsia" w:ascii="宋体" w:hAnsi="宋体"/>
          <w:sz w:val="24"/>
        </w:rPr>
        <w:t>）检测数据严格执行三级审核制度。</w:t>
      </w:r>
      <w:bookmarkEnd w:id="89"/>
    </w:p>
    <w:p>
      <w:pPr>
        <w:pStyle w:val="4"/>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pPr>
      <w:bookmarkStart w:id="90" w:name="_Toc503884774"/>
      <w:r>
        <w:t xml:space="preserve">6.2 </w:t>
      </w:r>
      <w:r>
        <w:rPr>
          <w:rFonts w:hint="eastAsia"/>
        </w:rPr>
        <w:t>检测分析方法</w:t>
      </w:r>
      <w:bookmarkEnd w:id="90"/>
    </w:p>
    <w:p>
      <w:pPr>
        <w:pStyle w:val="5"/>
      </w:pPr>
      <w:bookmarkStart w:id="91" w:name="_Toc497001482"/>
      <w:bookmarkStart w:id="92" w:name="_Toc503884775"/>
      <w:r>
        <w:t xml:space="preserve">6.2.1 </w:t>
      </w:r>
      <w:r>
        <w:rPr>
          <w:rFonts w:hint="eastAsia"/>
        </w:rPr>
        <w:t>检测点位、项目及频次</w:t>
      </w:r>
      <w:bookmarkEnd w:id="91"/>
      <w:bookmarkEnd w:id="92"/>
    </w:p>
    <w:p>
      <w:pPr>
        <w:spacing w:line="400" w:lineRule="atLeast"/>
        <w:ind w:firstLine="480" w:firstLineChars="200"/>
        <w:rPr>
          <w:rFonts w:ascii="宋体"/>
          <w:sz w:val="24"/>
        </w:rPr>
      </w:pPr>
      <w:r>
        <w:rPr>
          <w:rFonts w:hint="eastAsia" w:ascii="宋体" w:hAnsi="宋体"/>
          <w:sz w:val="24"/>
        </w:rPr>
        <w:t>①废</w:t>
      </w:r>
      <w:r>
        <w:rPr>
          <w:rFonts w:hint="eastAsia" w:ascii="宋体" w:hAnsi="宋体"/>
          <w:sz w:val="24"/>
          <w:lang w:eastAsia="zh-CN"/>
        </w:rPr>
        <w:t>气</w:t>
      </w:r>
      <w:r>
        <w:rPr>
          <w:rFonts w:hint="eastAsia" w:ascii="宋体" w:hAnsi="宋体"/>
          <w:sz w:val="24"/>
        </w:rPr>
        <w:t>检测</w:t>
      </w:r>
    </w:p>
    <w:p>
      <w:pPr>
        <w:jc w:val="center"/>
        <w:rPr>
          <w:rFonts w:ascii="宋体"/>
          <w:b/>
          <w:sz w:val="24"/>
          <w:szCs w:val="24"/>
        </w:rPr>
      </w:pPr>
      <w:r>
        <w:rPr>
          <w:rFonts w:hint="eastAsia" w:ascii="宋体" w:hAnsi="宋体"/>
          <w:b/>
          <w:sz w:val="24"/>
          <w:szCs w:val="24"/>
        </w:rPr>
        <w:t>表</w:t>
      </w:r>
      <w:r>
        <w:rPr>
          <w:rFonts w:ascii="宋体" w:hAnsi="宋体"/>
          <w:b/>
          <w:sz w:val="24"/>
          <w:szCs w:val="24"/>
        </w:rPr>
        <w:t>6-</w:t>
      </w:r>
      <w:r>
        <w:rPr>
          <w:rFonts w:hint="eastAsia" w:ascii="宋体" w:hAnsi="宋体"/>
          <w:b/>
          <w:sz w:val="24"/>
          <w:szCs w:val="24"/>
          <w:lang w:val="en-US" w:eastAsia="zh-CN"/>
        </w:rPr>
        <w:t>1</w:t>
      </w:r>
      <w:r>
        <w:rPr>
          <w:rFonts w:ascii="宋体" w:hAnsi="宋体"/>
          <w:b/>
          <w:sz w:val="24"/>
          <w:szCs w:val="24"/>
        </w:rPr>
        <w:t xml:space="preserve">  </w:t>
      </w:r>
      <w:r>
        <w:rPr>
          <w:rFonts w:hint="eastAsia" w:ascii="宋体" w:hAnsi="宋体"/>
          <w:b/>
          <w:sz w:val="24"/>
          <w:szCs w:val="24"/>
        </w:rPr>
        <w:t>废</w:t>
      </w:r>
      <w:r>
        <w:rPr>
          <w:rFonts w:hint="eastAsia" w:ascii="宋体" w:hAnsi="宋体"/>
          <w:b/>
          <w:sz w:val="24"/>
          <w:szCs w:val="24"/>
          <w:lang w:eastAsia="zh-CN"/>
        </w:rPr>
        <w:t>气</w:t>
      </w:r>
      <w:r>
        <w:rPr>
          <w:rFonts w:hint="eastAsia" w:ascii="宋体" w:hAnsi="宋体"/>
          <w:b/>
          <w:sz w:val="24"/>
          <w:szCs w:val="24"/>
        </w:rPr>
        <w:t>检测点位、项目及频次</w:t>
      </w:r>
    </w:p>
    <w:tbl>
      <w:tblPr>
        <w:tblStyle w:val="35"/>
        <w:tblW w:w="85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0"/>
        <w:gridCol w:w="2393"/>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3390" w:type="dxa"/>
            <w:vAlign w:val="center"/>
          </w:tcPr>
          <w:p>
            <w:pPr>
              <w:spacing w:line="360" w:lineRule="auto"/>
              <w:ind w:right="139" w:rightChars="66"/>
              <w:jc w:val="center"/>
              <w:rPr>
                <w:rFonts w:ascii="宋体"/>
                <w:b/>
                <w:kern w:val="0"/>
                <w:szCs w:val="21"/>
              </w:rPr>
            </w:pPr>
            <w:r>
              <w:rPr>
                <w:rFonts w:hint="eastAsia" w:ascii="宋体" w:hAnsi="宋体"/>
                <w:b/>
                <w:kern w:val="0"/>
                <w:szCs w:val="21"/>
              </w:rPr>
              <w:t>检测位置</w:t>
            </w:r>
          </w:p>
        </w:tc>
        <w:tc>
          <w:tcPr>
            <w:tcW w:w="2393" w:type="dxa"/>
            <w:vAlign w:val="center"/>
          </w:tcPr>
          <w:p>
            <w:pPr>
              <w:spacing w:line="360" w:lineRule="auto"/>
              <w:ind w:right="139" w:rightChars="66"/>
              <w:jc w:val="center"/>
              <w:rPr>
                <w:rFonts w:ascii="宋体"/>
                <w:b/>
                <w:kern w:val="0"/>
                <w:szCs w:val="21"/>
              </w:rPr>
            </w:pPr>
            <w:r>
              <w:rPr>
                <w:rFonts w:hint="eastAsia" w:ascii="宋体" w:hAnsi="宋体"/>
                <w:b/>
                <w:kern w:val="0"/>
                <w:szCs w:val="21"/>
              </w:rPr>
              <w:t>检测内容</w:t>
            </w:r>
          </w:p>
        </w:tc>
        <w:tc>
          <w:tcPr>
            <w:tcW w:w="2721" w:type="dxa"/>
            <w:vAlign w:val="center"/>
          </w:tcPr>
          <w:p>
            <w:pPr>
              <w:spacing w:line="360" w:lineRule="auto"/>
              <w:ind w:right="139" w:rightChars="66"/>
              <w:jc w:val="center"/>
              <w:rPr>
                <w:rFonts w:ascii="宋体"/>
                <w:b/>
                <w:kern w:val="0"/>
                <w:szCs w:val="21"/>
              </w:rPr>
            </w:pPr>
            <w:r>
              <w:rPr>
                <w:rFonts w:hint="eastAsia" w:ascii="宋体" w:hAnsi="宋体"/>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3390" w:type="dxa"/>
            <w:vAlign w:val="center"/>
          </w:tcPr>
          <w:p>
            <w:pPr>
              <w:spacing w:line="240" w:lineRule="exact"/>
              <w:ind w:left="-107" w:leftChars="-51" w:right="-107" w:rightChars="-51"/>
              <w:jc w:val="center"/>
              <w:rPr>
                <w:rFonts w:hint="eastAsia" w:ascii="宋体"/>
              </w:rPr>
            </w:pPr>
            <w:r>
              <w:rPr>
                <w:rFonts w:hint="eastAsia" w:ascii="宋体"/>
              </w:rPr>
              <w:t>排放源下风向厂界外</w:t>
            </w:r>
          </w:p>
          <w:p>
            <w:pPr>
              <w:spacing w:line="240" w:lineRule="exact"/>
              <w:ind w:left="-107" w:leftChars="-51" w:right="-107" w:rightChars="-51"/>
              <w:jc w:val="center"/>
              <w:rPr>
                <w:rFonts w:ascii="宋体"/>
              </w:rPr>
            </w:pPr>
            <w:r>
              <w:rPr>
                <w:rFonts w:hint="eastAsia" w:ascii="宋体"/>
              </w:rPr>
              <w:t>设置3个监测点</w:t>
            </w:r>
          </w:p>
        </w:tc>
        <w:tc>
          <w:tcPr>
            <w:tcW w:w="2393" w:type="dxa"/>
            <w:vAlign w:val="center"/>
          </w:tcPr>
          <w:p>
            <w:pPr>
              <w:ind w:right="139" w:rightChars="66"/>
              <w:jc w:val="center"/>
              <w:rPr>
                <w:rFonts w:ascii="宋体"/>
                <w:szCs w:val="21"/>
              </w:rPr>
            </w:pPr>
            <w:r>
              <w:rPr>
                <w:rFonts w:hint="eastAsia" w:ascii="宋体"/>
                <w:lang w:eastAsia="zh-CN"/>
              </w:rPr>
              <w:t>颗粒物</w:t>
            </w:r>
          </w:p>
        </w:tc>
        <w:tc>
          <w:tcPr>
            <w:tcW w:w="2721" w:type="dxa"/>
            <w:vAlign w:val="center"/>
          </w:tcPr>
          <w:p>
            <w:pPr>
              <w:spacing w:line="360" w:lineRule="auto"/>
              <w:ind w:right="139" w:rightChars="66"/>
              <w:jc w:val="center"/>
              <w:rPr>
                <w:rFonts w:ascii="宋体"/>
                <w:kern w:val="0"/>
                <w:szCs w:val="21"/>
              </w:rPr>
            </w:pPr>
            <w:r>
              <w:rPr>
                <w:rFonts w:hint="eastAsia" w:ascii="宋体" w:hAnsi="宋体"/>
                <w:kern w:val="0"/>
                <w:szCs w:val="21"/>
              </w:rPr>
              <w:t>检测</w:t>
            </w:r>
            <w:r>
              <w:rPr>
                <w:rFonts w:ascii="宋体" w:hAnsi="宋体"/>
                <w:kern w:val="0"/>
                <w:szCs w:val="21"/>
              </w:rPr>
              <w:t>2</w:t>
            </w:r>
            <w:r>
              <w:rPr>
                <w:rFonts w:hint="eastAsia" w:ascii="宋体" w:hAnsi="宋体"/>
                <w:kern w:val="0"/>
                <w:szCs w:val="21"/>
              </w:rPr>
              <w:t>天，每天检测</w:t>
            </w:r>
            <w:r>
              <w:rPr>
                <w:rFonts w:ascii="宋体" w:hAnsi="宋体"/>
                <w:kern w:val="0"/>
                <w:szCs w:val="21"/>
              </w:rPr>
              <w:t>4</w:t>
            </w:r>
            <w:r>
              <w:rPr>
                <w:rFonts w:hint="eastAsia" w:ascii="宋体" w:hAnsi="宋体"/>
                <w:kern w:val="0"/>
                <w:szCs w:val="21"/>
              </w:rPr>
              <w:t>次</w:t>
            </w:r>
          </w:p>
        </w:tc>
      </w:tr>
    </w:tbl>
    <w:p>
      <w:pPr>
        <w:spacing w:line="400" w:lineRule="atLeast"/>
        <w:ind w:firstLine="480" w:firstLineChars="200"/>
        <w:rPr>
          <w:rFonts w:ascii="宋体"/>
          <w:sz w:val="24"/>
        </w:rPr>
      </w:pPr>
      <w:r>
        <w:rPr>
          <w:rFonts w:hint="eastAsia" w:ascii="宋体" w:hAnsi="宋体"/>
          <w:sz w:val="24"/>
        </w:rPr>
        <w:t>②废水检测</w:t>
      </w:r>
    </w:p>
    <w:p>
      <w:pPr>
        <w:jc w:val="center"/>
        <w:rPr>
          <w:rFonts w:ascii="宋体"/>
          <w:b/>
          <w:sz w:val="24"/>
          <w:szCs w:val="24"/>
        </w:rPr>
      </w:pPr>
      <w:r>
        <w:rPr>
          <w:rFonts w:hint="eastAsia" w:ascii="宋体" w:hAnsi="宋体"/>
          <w:b/>
          <w:sz w:val="24"/>
          <w:szCs w:val="24"/>
        </w:rPr>
        <w:t>表</w:t>
      </w:r>
      <w:r>
        <w:rPr>
          <w:rFonts w:ascii="宋体" w:hAnsi="宋体"/>
          <w:b/>
          <w:sz w:val="24"/>
          <w:szCs w:val="24"/>
        </w:rPr>
        <w:t xml:space="preserve">6-2  </w:t>
      </w:r>
      <w:r>
        <w:rPr>
          <w:rFonts w:hint="eastAsia" w:ascii="宋体" w:hAnsi="宋体"/>
          <w:b/>
          <w:sz w:val="24"/>
          <w:szCs w:val="24"/>
        </w:rPr>
        <w:t>废水检测点位、项目及频次</w:t>
      </w:r>
    </w:p>
    <w:tbl>
      <w:tblPr>
        <w:tblStyle w:val="35"/>
        <w:tblW w:w="85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0"/>
        <w:gridCol w:w="2393"/>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3390" w:type="dxa"/>
            <w:vAlign w:val="center"/>
          </w:tcPr>
          <w:p>
            <w:pPr>
              <w:spacing w:line="360" w:lineRule="auto"/>
              <w:ind w:right="139" w:rightChars="66"/>
              <w:jc w:val="center"/>
              <w:rPr>
                <w:rFonts w:ascii="宋体"/>
                <w:b/>
                <w:kern w:val="0"/>
                <w:szCs w:val="21"/>
              </w:rPr>
            </w:pPr>
            <w:r>
              <w:rPr>
                <w:rFonts w:hint="eastAsia" w:ascii="宋体" w:hAnsi="宋体"/>
                <w:b/>
                <w:kern w:val="0"/>
                <w:szCs w:val="21"/>
              </w:rPr>
              <w:t>检测位置</w:t>
            </w:r>
          </w:p>
        </w:tc>
        <w:tc>
          <w:tcPr>
            <w:tcW w:w="2393" w:type="dxa"/>
            <w:vAlign w:val="center"/>
          </w:tcPr>
          <w:p>
            <w:pPr>
              <w:spacing w:line="360" w:lineRule="auto"/>
              <w:ind w:right="139" w:rightChars="66"/>
              <w:jc w:val="center"/>
              <w:rPr>
                <w:rFonts w:ascii="宋体"/>
                <w:b/>
                <w:kern w:val="0"/>
                <w:szCs w:val="21"/>
              </w:rPr>
            </w:pPr>
            <w:r>
              <w:rPr>
                <w:rFonts w:hint="eastAsia" w:ascii="宋体" w:hAnsi="宋体"/>
                <w:b/>
                <w:kern w:val="0"/>
                <w:szCs w:val="21"/>
              </w:rPr>
              <w:t>检测内容</w:t>
            </w:r>
          </w:p>
        </w:tc>
        <w:tc>
          <w:tcPr>
            <w:tcW w:w="2721" w:type="dxa"/>
            <w:vAlign w:val="center"/>
          </w:tcPr>
          <w:p>
            <w:pPr>
              <w:spacing w:line="360" w:lineRule="auto"/>
              <w:ind w:right="139" w:rightChars="66"/>
              <w:jc w:val="center"/>
              <w:rPr>
                <w:rFonts w:ascii="宋体"/>
                <w:b/>
                <w:kern w:val="0"/>
                <w:szCs w:val="21"/>
              </w:rPr>
            </w:pPr>
            <w:r>
              <w:rPr>
                <w:rFonts w:hint="eastAsia" w:ascii="宋体" w:hAnsi="宋体"/>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trPr>
        <w:tc>
          <w:tcPr>
            <w:tcW w:w="3390" w:type="dxa"/>
            <w:vAlign w:val="center"/>
          </w:tcPr>
          <w:p>
            <w:pPr>
              <w:spacing w:line="240" w:lineRule="exact"/>
              <w:ind w:left="-107" w:leftChars="-51" w:right="-107" w:rightChars="-51"/>
              <w:jc w:val="center"/>
              <w:rPr>
                <w:rFonts w:ascii="宋体"/>
              </w:rPr>
            </w:pPr>
            <w:r>
              <w:rPr>
                <w:rFonts w:hint="eastAsia" w:ascii="宋体"/>
              </w:rPr>
              <w:t>污水总排口</w:t>
            </w:r>
          </w:p>
        </w:tc>
        <w:tc>
          <w:tcPr>
            <w:tcW w:w="2393" w:type="dxa"/>
            <w:vAlign w:val="center"/>
          </w:tcPr>
          <w:p>
            <w:pPr>
              <w:ind w:right="139" w:rightChars="66"/>
              <w:jc w:val="center"/>
              <w:rPr>
                <w:rFonts w:ascii="宋体"/>
                <w:sz w:val="21"/>
                <w:szCs w:val="21"/>
              </w:rPr>
            </w:pPr>
            <w:r>
              <w:rPr>
                <w:rFonts w:hint="eastAsia"/>
                <w:color w:val="auto"/>
                <w:spacing w:val="0"/>
                <w:kern w:val="28"/>
                <w:sz w:val="21"/>
                <w:szCs w:val="21"/>
                <w:lang w:val="en-US" w:eastAsia="zh-CN"/>
              </w:rPr>
              <w:t>pH、</w:t>
            </w:r>
            <w:r>
              <w:rPr>
                <w:rFonts w:hint="eastAsia"/>
                <w:color w:val="auto"/>
                <w:spacing w:val="0"/>
                <w:kern w:val="28"/>
                <w:sz w:val="21"/>
                <w:szCs w:val="21"/>
              </w:rPr>
              <w:t>COD、氨氮、SS、动植物油</w:t>
            </w:r>
          </w:p>
        </w:tc>
        <w:tc>
          <w:tcPr>
            <w:tcW w:w="2721" w:type="dxa"/>
            <w:vAlign w:val="center"/>
          </w:tcPr>
          <w:p>
            <w:pPr>
              <w:spacing w:line="360" w:lineRule="auto"/>
              <w:ind w:right="139" w:rightChars="66"/>
              <w:jc w:val="center"/>
              <w:rPr>
                <w:rFonts w:ascii="宋体"/>
                <w:kern w:val="0"/>
                <w:szCs w:val="21"/>
              </w:rPr>
            </w:pPr>
            <w:r>
              <w:rPr>
                <w:rFonts w:hint="eastAsia" w:ascii="宋体" w:hAnsi="宋体"/>
                <w:kern w:val="0"/>
                <w:szCs w:val="21"/>
              </w:rPr>
              <w:t>检测</w:t>
            </w:r>
            <w:r>
              <w:rPr>
                <w:rFonts w:ascii="宋体" w:hAnsi="宋体"/>
                <w:kern w:val="0"/>
                <w:szCs w:val="21"/>
              </w:rPr>
              <w:t>2</w:t>
            </w:r>
            <w:r>
              <w:rPr>
                <w:rFonts w:hint="eastAsia" w:ascii="宋体" w:hAnsi="宋体"/>
                <w:kern w:val="0"/>
                <w:szCs w:val="21"/>
              </w:rPr>
              <w:t>天，每天检测</w:t>
            </w:r>
            <w:r>
              <w:rPr>
                <w:rFonts w:ascii="宋体" w:hAnsi="宋体"/>
                <w:kern w:val="0"/>
                <w:szCs w:val="21"/>
              </w:rPr>
              <w:t>4</w:t>
            </w:r>
            <w:r>
              <w:rPr>
                <w:rFonts w:hint="eastAsia" w:ascii="宋体" w:hAnsi="宋体"/>
                <w:kern w:val="0"/>
                <w:szCs w:val="21"/>
              </w:rPr>
              <w:t>次</w:t>
            </w:r>
          </w:p>
        </w:tc>
      </w:tr>
    </w:tbl>
    <w:p>
      <w:pPr>
        <w:spacing w:line="400" w:lineRule="atLeast"/>
        <w:ind w:firstLine="480" w:firstLineChars="200"/>
        <w:rPr>
          <w:rFonts w:ascii="宋体"/>
          <w:sz w:val="24"/>
        </w:rPr>
      </w:pPr>
      <w:r>
        <w:rPr>
          <w:rFonts w:hint="eastAsia" w:ascii="宋体" w:hAnsi="宋体"/>
          <w:sz w:val="24"/>
        </w:rPr>
        <w:br w:type="page"/>
      </w:r>
      <w:r>
        <w:rPr>
          <w:rFonts w:hint="eastAsia" w:ascii="宋体" w:hAnsi="宋体"/>
          <w:sz w:val="24"/>
        </w:rPr>
        <w:t>③噪声检测</w:t>
      </w:r>
    </w:p>
    <w:p>
      <w:pPr>
        <w:jc w:val="center"/>
        <w:rPr>
          <w:rFonts w:ascii="宋体"/>
          <w:b/>
          <w:sz w:val="24"/>
          <w:szCs w:val="24"/>
        </w:rPr>
      </w:pPr>
      <w:r>
        <w:rPr>
          <w:rFonts w:hint="eastAsia" w:ascii="宋体" w:hAnsi="宋体"/>
          <w:b/>
          <w:sz w:val="24"/>
          <w:szCs w:val="24"/>
        </w:rPr>
        <w:t>表</w:t>
      </w:r>
      <w:r>
        <w:rPr>
          <w:rFonts w:ascii="宋体" w:hAnsi="宋体"/>
          <w:b/>
          <w:sz w:val="24"/>
          <w:szCs w:val="24"/>
        </w:rPr>
        <w:t xml:space="preserve">6-3    </w:t>
      </w:r>
      <w:r>
        <w:rPr>
          <w:rFonts w:hint="eastAsia" w:ascii="宋体" w:hAnsi="宋体"/>
          <w:b/>
          <w:sz w:val="24"/>
          <w:szCs w:val="24"/>
        </w:rPr>
        <w:t>噪声检测点位、项目及频次</w:t>
      </w:r>
    </w:p>
    <w:tbl>
      <w:tblPr>
        <w:tblStyle w:val="35"/>
        <w:tblpPr w:leftFromText="181" w:rightFromText="181" w:vertAnchor="text" w:horzAnchor="page" w:tblpX="1906" w:tblpY="41"/>
        <w:tblOverlap w:val="never"/>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7"/>
        <w:gridCol w:w="2328"/>
        <w:gridCol w:w="2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3447" w:type="dxa"/>
            <w:vAlign w:val="center"/>
          </w:tcPr>
          <w:p>
            <w:pPr>
              <w:spacing w:line="360" w:lineRule="auto"/>
              <w:ind w:right="139" w:rightChars="66"/>
              <w:jc w:val="center"/>
              <w:rPr>
                <w:rFonts w:ascii="宋体"/>
                <w:b/>
                <w:kern w:val="0"/>
                <w:szCs w:val="21"/>
              </w:rPr>
            </w:pPr>
            <w:r>
              <w:rPr>
                <w:rFonts w:hint="eastAsia" w:ascii="宋体" w:hAnsi="宋体"/>
                <w:b/>
                <w:kern w:val="0"/>
                <w:szCs w:val="21"/>
              </w:rPr>
              <w:t>检测位置</w:t>
            </w:r>
          </w:p>
        </w:tc>
        <w:tc>
          <w:tcPr>
            <w:tcW w:w="2328" w:type="dxa"/>
            <w:vAlign w:val="center"/>
          </w:tcPr>
          <w:p>
            <w:pPr>
              <w:spacing w:line="360" w:lineRule="auto"/>
              <w:ind w:right="139" w:rightChars="66"/>
              <w:jc w:val="center"/>
              <w:rPr>
                <w:rFonts w:ascii="宋体"/>
                <w:b/>
                <w:kern w:val="0"/>
                <w:szCs w:val="21"/>
              </w:rPr>
            </w:pPr>
            <w:r>
              <w:rPr>
                <w:rFonts w:hint="eastAsia" w:ascii="宋体" w:hAnsi="宋体"/>
                <w:b/>
                <w:kern w:val="0"/>
                <w:szCs w:val="21"/>
              </w:rPr>
              <w:t>检测内容</w:t>
            </w:r>
          </w:p>
        </w:tc>
        <w:tc>
          <w:tcPr>
            <w:tcW w:w="2729" w:type="dxa"/>
            <w:vAlign w:val="center"/>
          </w:tcPr>
          <w:p>
            <w:pPr>
              <w:spacing w:line="360" w:lineRule="auto"/>
              <w:ind w:right="139" w:rightChars="66"/>
              <w:jc w:val="center"/>
              <w:rPr>
                <w:rFonts w:ascii="宋体"/>
                <w:b/>
                <w:kern w:val="0"/>
                <w:szCs w:val="21"/>
              </w:rPr>
            </w:pPr>
            <w:r>
              <w:rPr>
                <w:rFonts w:hint="eastAsia" w:ascii="宋体" w:hAnsi="宋体"/>
                <w:b/>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3447" w:type="dxa"/>
            <w:vAlign w:val="center"/>
          </w:tcPr>
          <w:p>
            <w:pPr>
              <w:spacing w:line="240" w:lineRule="exact"/>
              <w:ind w:left="-107" w:leftChars="-51" w:right="-107" w:rightChars="-51"/>
              <w:jc w:val="center"/>
              <w:rPr>
                <w:rFonts w:ascii="宋体"/>
              </w:rPr>
            </w:pPr>
            <w:r>
              <w:rPr>
                <w:rFonts w:hint="eastAsia" w:ascii="宋体" w:hAnsi="宋体"/>
              </w:rPr>
              <w:t>厂界外</w:t>
            </w:r>
            <w:r>
              <w:rPr>
                <w:rFonts w:hint="eastAsia" w:ascii="宋体" w:hAnsi="宋体"/>
                <w:lang w:eastAsia="zh-CN"/>
              </w:rPr>
              <w:t>四周共</w:t>
            </w:r>
            <w:r>
              <w:rPr>
                <w:rFonts w:hint="eastAsia" w:ascii="宋体" w:hAnsi="宋体"/>
              </w:rPr>
              <w:t>设</w:t>
            </w:r>
            <w:r>
              <w:rPr>
                <w:rFonts w:hint="eastAsia" w:ascii="宋体" w:hAnsi="宋体"/>
                <w:lang w:val="en-US" w:eastAsia="zh-CN"/>
              </w:rPr>
              <w:t>4</w:t>
            </w:r>
            <w:r>
              <w:rPr>
                <w:rFonts w:hint="eastAsia" w:ascii="宋体" w:hAnsi="宋体"/>
              </w:rPr>
              <w:t>个检测点位</w:t>
            </w:r>
          </w:p>
        </w:tc>
        <w:tc>
          <w:tcPr>
            <w:tcW w:w="2328" w:type="dxa"/>
            <w:vAlign w:val="center"/>
          </w:tcPr>
          <w:p>
            <w:pPr>
              <w:ind w:right="139" w:rightChars="66"/>
              <w:jc w:val="center"/>
              <w:rPr>
                <w:rFonts w:ascii="宋体"/>
                <w:szCs w:val="21"/>
              </w:rPr>
            </w:pPr>
            <w:r>
              <w:rPr>
                <w:rFonts w:hint="eastAsia" w:ascii="宋体" w:hAnsi="宋体"/>
                <w:szCs w:val="21"/>
              </w:rPr>
              <w:t>连续等效</w:t>
            </w:r>
            <w:r>
              <w:rPr>
                <w:rFonts w:ascii="宋体" w:hAnsi="宋体"/>
                <w:szCs w:val="21"/>
              </w:rPr>
              <w:t>A</w:t>
            </w:r>
            <w:r>
              <w:rPr>
                <w:rFonts w:hint="eastAsia" w:ascii="宋体" w:hAnsi="宋体"/>
                <w:szCs w:val="21"/>
              </w:rPr>
              <w:t>声级，</w:t>
            </w:r>
            <w:r>
              <w:rPr>
                <w:rFonts w:ascii="宋体" w:hAnsi="宋体"/>
                <w:szCs w:val="21"/>
              </w:rPr>
              <w:t>Leq(A)</w:t>
            </w:r>
          </w:p>
        </w:tc>
        <w:tc>
          <w:tcPr>
            <w:tcW w:w="2729" w:type="dxa"/>
            <w:vAlign w:val="center"/>
          </w:tcPr>
          <w:p>
            <w:pPr>
              <w:spacing w:line="360" w:lineRule="auto"/>
              <w:ind w:left="-107" w:leftChars="-51" w:right="-120" w:rightChars="-57"/>
              <w:jc w:val="center"/>
              <w:rPr>
                <w:rFonts w:ascii="宋体"/>
                <w:kern w:val="0"/>
                <w:szCs w:val="21"/>
              </w:rPr>
            </w:pPr>
            <w:r>
              <w:rPr>
                <w:rFonts w:hint="eastAsia" w:ascii="宋体" w:hAnsi="宋体"/>
                <w:kern w:val="0"/>
                <w:szCs w:val="21"/>
              </w:rPr>
              <w:t>检测</w:t>
            </w:r>
            <w:r>
              <w:rPr>
                <w:rFonts w:ascii="宋体" w:hAnsi="宋体"/>
                <w:kern w:val="0"/>
                <w:szCs w:val="21"/>
              </w:rPr>
              <w:t>2</w:t>
            </w:r>
            <w:r>
              <w:rPr>
                <w:rFonts w:hint="eastAsia" w:ascii="宋体" w:hAnsi="宋体"/>
                <w:kern w:val="0"/>
                <w:szCs w:val="21"/>
              </w:rPr>
              <w:t>天，昼夜各检测</w:t>
            </w:r>
            <w:r>
              <w:rPr>
                <w:rFonts w:ascii="宋体" w:hAnsi="宋体"/>
                <w:kern w:val="0"/>
                <w:szCs w:val="21"/>
              </w:rPr>
              <w:t>1</w:t>
            </w:r>
            <w:r>
              <w:rPr>
                <w:rFonts w:hint="eastAsia" w:ascii="宋体" w:hAnsi="宋体"/>
                <w:kern w:val="0"/>
                <w:szCs w:val="21"/>
              </w:rPr>
              <w:t>次</w:t>
            </w:r>
          </w:p>
        </w:tc>
      </w:tr>
    </w:tbl>
    <w:p>
      <w:pPr>
        <w:pStyle w:val="5"/>
      </w:pPr>
      <w:bookmarkStart w:id="93" w:name="_Toc503884776"/>
      <w:bookmarkStart w:id="94" w:name="_Toc497001483"/>
      <w:r>
        <w:t>6.2.2</w:t>
      </w:r>
      <w:r>
        <w:rPr>
          <w:rFonts w:hint="eastAsia"/>
        </w:rPr>
        <w:t>检测分析方法</w:t>
      </w:r>
      <w:bookmarkEnd w:id="93"/>
      <w:bookmarkEnd w:id="94"/>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ascii="宋体"/>
          <w:b/>
          <w:sz w:val="24"/>
        </w:rPr>
      </w:pPr>
      <w:r>
        <w:rPr>
          <w:rFonts w:hint="eastAsia" w:ascii="宋体" w:hAnsi="宋体"/>
          <w:b/>
          <w:sz w:val="24"/>
        </w:rPr>
        <w:t>表</w:t>
      </w:r>
      <w:r>
        <w:rPr>
          <w:rFonts w:ascii="宋体" w:hAnsi="宋体"/>
          <w:b/>
          <w:sz w:val="24"/>
        </w:rPr>
        <w:t xml:space="preserve">6-4    </w:t>
      </w:r>
      <w:r>
        <w:rPr>
          <w:rFonts w:hint="eastAsia" w:ascii="宋体" w:hAnsi="宋体"/>
          <w:b/>
          <w:sz w:val="24"/>
        </w:rPr>
        <w:t>废</w:t>
      </w:r>
      <w:r>
        <w:rPr>
          <w:rFonts w:hint="eastAsia" w:ascii="宋体" w:hAnsi="宋体"/>
          <w:b/>
          <w:sz w:val="24"/>
          <w:lang w:eastAsia="zh-CN"/>
        </w:rPr>
        <w:t>气</w:t>
      </w:r>
      <w:r>
        <w:rPr>
          <w:rFonts w:hint="eastAsia" w:ascii="宋体" w:hAnsi="宋体"/>
          <w:b/>
          <w:sz w:val="24"/>
        </w:rPr>
        <w:t>检测项目分析方法及所用仪器</w:t>
      </w:r>
    </w:p>
    <w:tbl>
      <w:tblPr>
        <w:tblStyle w:val="35"/>
        <w:tblW w:w="8504" w:type="dxa"/>
        <w:tblInd w:w="108"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9"/>
        <w:gridCol w:w="2620"/>
        <w:gridCol w:w="3290"/>
        <w:gridCol w:w="152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578" w:hRule="atLeast"/>
        </w:trPr>
        <w:tc>
          <w:tcPr>
            <w:tcW w:w="1069" w:type="dxa"/>
            <w:tcBorders>
              <w:top w:val="single" w:color="auto" w:sz="4" w:space="0"/>
              <w:left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检测项目</w:t>
            </w:r>
          </w:p>
        </w:tc>
        <w:tc>
          <w:tcPr>
            <w:tcW w:w="2620" w:type="dxa"/>
            <w:tcBorders>
              <w:top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分析方法</w:t>
            </w:r>
          </w:p>
        </w:tc>
        <w:tc>
          <w:tcPr>
            <w:tcW w:w="3290" w:type="dxa"/>
            <w:tcBorders>
              <w:top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分析仪器</w:t>
            </w:r>
          </w:p>
        </w:tc>
        <w:tc>
          <w:tcPr>
            <w:tcW w:w="1525" w:type="dxa"/>
            <w:tcBorders>
              <w:top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81" w:hRule="atLeast"/>
        </w:trPr>
        <w:tc>
          <w:tcPr>
            <w:tcW w:w="1069"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0"/>
                <w:sz w:val="21"/>
                <w:szCs w:val="21"/>
                <w:lang w:eastAsia="zh-CN"/>
              </w:rPr>
              <w:t>颗粒物</w:t>
            </w:r>
          </w:p>
        </w:tc>
        <w:tc>
          <w:tcPr>
            <w:tcW w:w="262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heme="minorEastAsia" w:hAnsiTheme="minorEastAsia" w:eastAsiaTheme="minorEastAsia" w:cstheme="minorEastAsia"/>
                <w:spacing w:val="0"/>
                <w:sz w:val="21"/>
                <w:szCs w:val="21"/>
                <w:lang w:val="en-US" w:eastAsia="zh-CN"/>
              </w:rPr>
            </w:pPr>
            <w:r>
              <w:rPr>
                <w:rFonts w:hint="eastAsia" w:asciiTheme="minorEastAsia" w:hAnsiTheme="minorEastAsia" w:eastAsiaTheme="minorEastAsia" w:cstheme="minorEastAsia"/>
                <w:spacing w:val="0"/>
                <w:sz w:val="21"/>
                <w:szCs w:val="21"/>
                <w:lang w:eastAsia="zh-CN"/>
              </w:rPr>
              <w:t>《环境空气</w:t>
            </w:r>
            <w:r>
              <w:rPr>
                <w:rFonts w:hint="eastAsia" w:asciiTheme="minorEastAsia" w:hAnsiTheme="minorEastAsia" w:eastAsiaTheme="minorEastAsia" w:cstheme="minorEastAsia"/>
                <w:spacing w:val="0"/>
                <w:sz w:val="21"/>
                <w:szCs w:val="21"/>
                <w:lang w:val="en-US" w:eastAsia="zh-CN"/>
              </w:rPr>
              <w:t xml:space="preserve"> </w:t>
            </w:r>
            <w:r>
              <w:rPr>
                <w:rFonts w:hint="eastAsia" w:asciiTheme="minorEastAsia" w:hAnsiTheme="minorEastAsia" w:eastAsiaTheme="minorEastAsia" w:cstheme="minorEastAsia"/>
                <w:spacing w:val="0"/>
                <w:sz w:val="21"/>
                <w:szCs w:val="21"/>
                <w:lang w:eastAsia="zh-CN"/>
              </w:rPr>
              <w:t>总悬浮颗粒物的测定</w:t>
            </w:r>
            <w:r>
              <w:rPr>
                <w:rFonts w:hint="eastAsia" w:asciiTheme="minorEastAsia" w:hAnsiTheme="minorEastAsia" w:eastAsiaTheme="minorEastAsia" w:cstheme="minorEastAsia"/>
                <w:spacing w:val="0"/>
                <w:sz w:val="21"/>
                <w:szCs w:val="21"/>
                <w:lang w:val="en-US" w:eastAsia="zh-CN"/>
              </w:rPr>
              <w:t xml:space="preserve"> 重量法》 </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0"/>
                <w:sz w:val="21"/>
                <w:szCs w:val="21"/>
                <w:lang w:val="en-US" w:eastAsia="zh-CN"/>
              </w:rPr>
              <w:t>GB/T 15432-1995</w:t>
            </w:r>
          </w:p>
        </w:tc>
        <w:tc>
          <w:tcPr>
            <w:tcW w:w="3290" w:type="dxa"/>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ADS-2062E智能综合采样器 </w:t>
            </w:r>
          </w:p>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Theme="minorEastAsia" w:hAnsiTheme="minorEastAsia" w:eastAsiaTheme="minorEastAsia" w:cstheme="minorEastAsia"/>
                <w:spacing w:val="0"/>
                <w:sz w:val="21"/>
                <w:szCs w:val="21"/>
                <w:lang w:val="en-US" w:eastAsia="zh-CN"/>
              </w:rPr>
            </w:pPr>
            <w:r>
              <w:rPr>
                <w:rFonts w:hint="eastAsia" w:asciiTheme="minorEastAsia" w:hAnsiTheme="minorEastAsia" w:eastAsiaTheme="minorEastAsia" w:cstheme="minorEastAsia"/>
                <w:spacing w:val="0"/>
                <w:sz w:val="21"/>
                <w:szCs w:val="21"/>
              </w:rPr>
              <w:t>编号：SB</w:t>
            </w:r>
            <w:r>
              <w:rPr>
                <w:rFonts w:hint="eastAsia" w:asciiTheme="minorEastAsia" w:hAnsiTheme="minorEastAsia" w:eastAsiaTheme="minorEastAsia" w:cstheme="minorEastAsia"/>
                <w:spacing w:val="0"/>
                <w:sz w:val="21"/>
                <w:szCs w:val="21"/>
                <w:lang w:val="en-US" w:eastAsia="zh-CN"/>
              </w:rPr>
              <w:t>48-1、</w:t>
            </w:r>
            <w:r>
              <w:rPr>
                <w:rFonts w:hint="eastAsia" w:asciiTheme="minorEastAsia" w:hAnsiTheme="minorEastAsia" w:eastAsiaTheme="minorEastAsia" w:cstheme="minorEastAsia"/>
                <w:spacing w:val="0"/>
                <w:sz w:val="21"/>
                <w:szCs w:val="21"/>
              </w:rPr>
              <w:t>SB</w:t>
            </w:r>
            <w:r>
              <w:rPr>
                <w:rFonts w:hint="eastAsia" w:asciiTheme="minorEastAsia" w:hAnsiTheme="minorEastAsia" w:eastAsiaTheme="minorEastAsia" w:cstheme="minorEastAsia"/>
                <w:spacing w:val="0"/>
                <w:sz w:val="21"/>
                <w:szCs w:val="21"/>
                <w:lang w:val="en-US" w:eastAsia="zh-CN"/>
              </w:rPr>
              <w:t>48-2、</w:t>
            </w:r>
            <w:r>
              <w:rPr>
                <w:rFonts w:hint="eastAsia" w:asciiTheme="minorEastAsia" w:hAnsiTheme="minorEastAsia" w:eastAsiaTheme="minorEastAsia" w:cstheme="minorEastAsia"/>
                <w:spacing w:val="0"/>
                <w:sz w:val="21"/>
                <w:szCs w:val="21"/>
              </w:rPr>
              <w:t>SB</w:t>
            </w:r>
            <w:r>
              <w:rPr>
                <w:rFonts w:hint="eastAsia" w:asciiTheme="minorEastAsia" w:hAnsiTheme="minorEastAsia" w:eastAsiaTheme="minorEastAsia" w:cstheme="minorEastAsia"/>
                <w:spacing w:val="0"/>
                <w:sz w:val="21"/>
                <w:szCs w:val="21"/>
                <w:lang w:val="en-US" w:eastAsia="zh-CN"/>
              </w:rPr>
              <w:t>48-3</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 w:val="0"/>
                <w:color w:val="000000"/>
                <w:kern w:val="0"/>
                <w:sz w:val="21"/>
                <w:szCs w:val="21"/>
                <w:u w:val="none"/>
                <w:lang w:val="en-US" w:eastAsia="zh-CN" w:bidi="ar"/>
              </w:rPr>
              <w:t xml:space="preserve">JJ224BC电子天平 </w:t>
            </w:r>
            <w:r>
              <w:rPr>
                <w:rFonts w:hint="eastAsia" w:asciiTheme="minorEastAsia" w:hAnsiTheme="minorEastAsia" w:eastAsiaTheme="minorEastAsia" w:cstheme="minorEastAsia"/>
                <w:spacing w:val="0"/>
                <w:sz w:val="21"/>
                <w:szCs w:val="21"/>
              </w:rPr>
              <w:t>编号：SB</w:t>
            </w:r>
            <w:r>
              <w:rPr>
                <w:rFonts w:hint="eastAsia" w:asciiTheme="minorEastAsia" w:hAnsiTheme="minorEastAsia" w:eastAsiaTheme="minorEastAsia" w:cstheme="minorEastAsia"/>
                <w:spacing w:val="0"/>
                <w:sz w:val="21"/>
                <w:szCs w:val="21"/>
                <w:lang w:val="en-US" w:eastAsia="zh-CN"/>
              </w:rPr>
              <w:t>44</w:t>
            </w:r>
          </w:p>
        </w:tc>
        <w:tc>
          <w:tcPr>
            <w:tcW w:w="1525"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pacing w:val="0"/>
                <w:sz w:val="21"/>
                <w:szCs w:val="21"/>
              </w:rPr>
              <w:t>0.0</w:t>
            </w:r>
            <w:r>
              <w:rPr>
                <w:rFonts w:hint="eastAsia" w:asciiTheme="minorEastAsia" w:hAnsiTheme="minorEastAsia" w:eastAsiaTheme="minorEastAsia" w:cstheme="minorEastAsia"/>
                <w:spacing w:val="0"/>
                <w:sz w:val="21"/>
                <w:szCs w:val="21"/>
                <w:lang w:val="en-US" w:eastAsia="zh-CN"/>
              </w:rPr>
              <w:t>01</w:t>
            </w:r>
            <w:r>
              <w:rPr>
                <w:rFonts w:hint="eastAsia" w:asciiTheme="minorEastAsia" w:hAnsiTheme="minorEastAsia" w:eastAsiaTheme="minorEastAsia" w:cstheme="minorEastAsia"/>
                <w:spacing w:val="0"/>
                <w:sz w:val="21"/>
                <w:szCs w:val="21"/>
              </w:rPr>
              <w:t>mg/m</w:t>
            </w:r>
            <w:r>
              <w:rPr>
                <w:rFonts w:hint="eastAsia" w:asciiTheme="minorEastAsia" w:hAnsiTheme="minorEastAsia" w:eastAsiaTheme="minorEastAsia" w:cstheme="minorEastAsia"/>
                <w:spacing w:val="0"/>
                <w:sz w:val="21"/>
                <w:szCs w:val="21"/>
                <w:vertAlign w:val="superscript"/>
              </w:rPr>
              <w:t>3</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ascii="宋体"/>
          <w:b/>
          <w:sz w:val="24"/>
        </w:rPr>
      </w:pPr>
      <w:r>
        <w:rPr>
          <w:rFonts w:hint="eastAsia" w:ascii="宋体" w:hAnsi="宋体"/>
          <w:b/>
          <w:sz w:val="24"/>
        </w:rPr>
        <w:t>表</w:t>
      </w:r>
      <w:r>
        <w:rPr>
          <w:rFonts w:ascii="宋体" w:hAnsi="宋体"/>
          <w:b/>
          <w:sz w:val="24"/>
        </w:rPr>
        <w:t>6-</w:t>
      </w:r>
      <w:r>
        <w:rPr>
          <w:rFonts w:hint="eastAsia" w:ascii="宋体" w:hAnsi="宋体"/>
          <w:b/>
          <w:sz w:val="24"/>
          <w:lang w:val="en-US" w:eastAsia="zh-CN"/>
        </w:rPr>
        <w:t>5</w:t>
      </w:r>
      <w:r>
        <w:rPr>
          <w:rFonts w:ascii="宋体" w:hAnsi="宋体"/>
          <w:b/>
          <w:sz w:val="24"/>
        </w:rPr>
        <w:t xml:space="preserve">    </w:t>
      </w:r>
      <w:r>
        <w:rPr>
          <w:rFonts w:hint="eastAsia" w:ascii="宋体" w:hAnsi="宋体"/>
          <w:b/>
          <w:sz w:val="24"/>
        </w:rPr>
        <w:t>废</w:t>
      </w:r>
      <w:r>
        <w:rPr>
          <w:rFonts w:hint="eastAsia" w:ascii="宋体" w:hAnsi="宋体"/>
          <w:b/>
          <w:sz w:val="24"/>
          <w:lang w:eastAsia="zh-CN"/>
        </w:rPr>
        <w:t>水</w:t>
      </w:r>
      <w:r>
        <w:rPr>
          <w:rFonts w:hint="eastAsia" w:ascii="宋体" w:hAnsi="宋体"/>
          <w:b/>
          <w:sz w:val="24"/>
        </w:rPr>
        <w:t>检测项目分析方法及所用仪器</w:t>
      </w:r>
    </w:p>
    <w:tbl>
      <w:tblPr>
        <w:tblStyle w:val="35"/>
        <w:tblW w:w="8504" w:type="dxa"/>
        <w:tblInd w:w="108"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2"/>
        <w:gridCol w:w="3955"/>
        <w:gridCol w:w="2106"/>
        <w:gridCol w:w="1171"/>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13" w:hRule="atLeast"/>
        </w:trPr>
        <w:tc>
          <w:tcPr>
            <w:tcW w:w="1272" w:type="dxa"/>
            <w:tcBorders>
              <w:top w:val="single" w:color="auto" w:sz="4" w:space="0"/>
              <w:left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检测项目</w:t>
            </w:r>
          </w:p>
        </w:tc>
        <w:tc>
          <w:tcPr>
            <w:tcW w:w="3955" w:type="dxa"/>
            <w:tcBorders>
              <w:top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分析方法</w:t>
            </w:r>
          </w:p>
        </w:tc>
        <w:tc>
          <w:tcPr>
            <w:tcW w:w="2106" w:type="dxa"/>
            <w:tcBorders>
              <w:top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分析仪器</w:t>
            </w:r>
          </w:p>
        </w:tc>
        <w:tc>
          <w:tcPr>
            <w:tcW w:w="1171" w:type="dxa"/>
            <w:tcBorders>
              <w:top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trPr>
        <w:tc>
          <w:tcPr>
            <w:tcW w:w="1272" w:type="dxa"/>
            <w:tcBorders>
              <w:lef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pacing w:val="0"/>
                <w:sz w:val="21"/>
                <w:szCs w:val="21"/>
              </w:rPr>
              <w:t>pH</w:t>
            </w:r>
          </w:p>
        </w:tc>
        <w:tc>
          <w:tcPr>
            <w:tcW w:w="3955"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heme="minorEastAsia" w:hAnsiTheme="minorEastAsia" w:eastAsiaTheme="minorEastAsia" w:cstheme="minorEastAsia"/>
                <w:color w:val="000000"/>
                <w:spacing w:val="0"/>
                <w:sz w:val="21"/>
                <w:szCs w:val="21"/>
              </w:rPr>
            </w:pPr>
            <w:r>
              <w:rPr>
                <w:rFonts w:hint="eastAsia" w:asciiTheme="minorEastAsia" w:hAnsiTheme="minorEastAsia" w:eastAsiaTheme="minorEastAsia" w:cstheme="minorEastAsia"/>
                <w:color w:val="000000"/>
                <w:spacing w:val="0"/>
                <w:sz w:val="21"/>
                <w:szCs w:val="21"/>
                <w:lang w:eastAsia="zh-CN"/>
              </w:rPr>
              <w:t>《</w:t>
            </w:r>
            <w:r>
              <w:rPr>
                <w:rFonts w:hint="eastAsia" w:asciiTheme="minorEastAsia" w:hAnsiTheme="minorEastAsia" w:eastAsiaTheme="minorEastAsia" w:cstheme="minorEastAsia"/>
                <w:color w:val="000000"/>
                <w:spacing w:val="0"/>
                <w:sz w:val="21"/>
                <w:szCs w:val="21"/>
              </w:rPr>
              <w:t>水质 pH的测定 玻璃电极法</w:t>
            </w:r>
            <w:r>
              <w:rPr>
                <w:rFonts w:hint="eastAsia" w:asciiTheme="minorEastAsia" w:hAnsiTheme="minorEastAsia" w:eastAsiaTheme="minorEastAsia" w:cstheme="minorEastAsia"/>
                <w:color w:val="000000"/>
                <w:spacing w:val="0"/>
                <w:sz w:val="21"/>
                <w:szCs w:val="21"/>
                <w:lang w:eastAsia="zh-CN"/>
              </w:rPr>
              <w:t>》</w:t>
            </w:r>
          </w:p>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pacing w:val="0"/>
                <w:sz w:val="21"/>
                <w:szCs w:val="21"/>
              </w:rPr>
              <w:t>GB</w:t>
            </w:r>
            <w:r>
              <w:rPr>
                <w:rFonts w:hint="eastAsia" w:asciiTheme="minorEastAsia" w:hAnsiTheme="minorEastAsia" w:eastAsiaTheme="minorEastAsia" w:cstheme="minorEastAsia"/>
                <w:color w:val="000000"/>
                <w:spacing w:val="0"/>
                <w:sz w:val="21"/>
                <w:szCs w:val="21"/>
                <w:lang w:val="en-US" w:eastAsia="zh-CN"/>
              </w:rPr>
              <w:t xml:space="preserve">/T </w:t>
            </w:r>
            <w:r>
              <w:rPr>
                <w:rFonts w:hint="eastAsia" w:asciiTheme="minorEastAsia" w:hAnsiTheme="minorEastAsia" w:eastAsiaTheme="minorEastAsia" w:cstheme="minorEastAsia"/>
                <w:color w:val="000000"/>
                <w:spacing w:val="0"/>
                <w:sz w:val="21"/>
                <w:szCs w:val="21"/>
              </w:rPr>
              <w:t>6920-1986</w:t>
            </w:r>
          </w:p>
        </w:tc>
        <w:tc>
          <w:tcPr>
            <w:tcW w:w="2106"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Theme="minorEastAsia" w:hAnsiTheme="minorEastAsia" w:eastAsiaTheme="minorEastAsia" w:cstheme="minorEastAsia"/>
                <w:color w:val="000000"/>
                <w:spacing w:val="0"/>
                <w:sz w:val="21"/>
                <w:szCs w:val="21"/>
              </w:rPr>
            </w:pPr>
            <w:r>
              <w:rPr>
                <w:rFonts w:hint="eastAsia" w:asciiTheme="minorEastAsia" w:hAnsiTheme="minorEastAsia" w:eastAsiaTheme="minorEastAsia" w:cstheme="minorEastAsia"/>
                <w:color w:val="000000"/>
                <w:spacing w:val="0"/>
                <w:sz w:val="21"/>
                <w:szCs w:val="21"/>
              </w:rPr>
              <w:t xml:space="preserve">PHS-3C精密pH计 </w:t>
            </w:r>
          </w:p>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pacing w:val="0"/>
                <w:sz w:val="21"/>
                <w:szCs w:val="21"/>
              </w:rPr>
              <w:t>编号：SB03</w:t>
            </w:r>
          </w:p>
        </w:tc>
        <w:tc>
          <w:tcPr>
            <w:tcW w:w="1171" w:type="dxa"/>
            <w:tcBorders>
              <w:right w:val="single" w:color="auto" w:sz="4" w:space="0"/>
            </w:tcBorders>
            <w:vAlign w:val="center"/>
          </w:tcPr>
          <w:p>
            <w:pPr>
              <w:spacing w:line="24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trPr>
        <w:tc>
          <w:tcPr>
            <w:tcW w:w="1272" w:type="dxa"/>
            <w:tcBorders>
              <w:left w:val="single" w:color="auto" w:sz="4" w:space="0"/>
            </w:tcBorders>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动植物油</w:t>
            </w:r>
          </w:p>
        </w:tc>
        <w:tc>
          <w:tcPr>
            <w:tcW w:w="3955" w:type="dxa"/>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《水质 石油类和动植物油类的测定 红外分光光度法》HJ637-2012</w:t>
            </w:r>
          </w:p>
        </w:tc>
        <w:tc>
          <w:tcPr>
            <w:tcW w:w="2106" w:type="dxa"/>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红外分光测油仪</w:t>
            </w:r>
          </w:p>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编号：SB15</w:t>
            </w:r>
          </w:p>
        </w:tc>
        <w:tc>
          <w:tcPr>
            <w:tcW w:w="1171" w:type="dxa"/>
            <w:tcBorders>
              <w:right w:val="single" w:color="auto" w:sz="4" w:space="0"/>
            </w:tcBorders>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0.04mg/L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57" w:hRule="atLeast"/>
        </w:trPr>
        <w:tc>
          <w:tcPr>
            <w:tcW w:w="1272" w:type="dxa"/>
            <w:tcBorders>
              <w:left w:val="single" w:color="auto" w:sz="4" w:space="0"/>
            </w:tcBorders>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SS</w:t>
            </w:r>
          </w:p>
        </w:tc>
        <w:tc>
          <w:tcPr>
            <w:tcW w:w="3955" w:type="dxa"/>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《水质 悬浮物的测定 重量法》</w:t>
            </w:r>
          </w:p>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(GB/T11901-1989)</w:t>
            </w:r>
          </w:p>
        </w:tc>
        <w:tc>
          <w:tcPr>
            <w:tcW w:w="2106" w:type="dxa"/>
            <w:vAlign w:val="center"/>
          </w:tcPr>
          <w:p>
            <w:pPr>
              <w:spacing w:line="240"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00"/>
                <w:spacing w:val="0"/>
                <w:sz w:val="21"/>
                <w:szCs w:val="21"/>
              </w:rPr>
              <w:t>FA2004B电子分析天平 编号：SB01</w:t>
            </w:r>
          </w:p>
        </w:tc>
        <w:tc>
          <w:tcPr>
            <w:tcW w:w="1171" w:type="dxa"/>
            <w:tcBorders>
              <w:right w:val="single" w:color="auto" w:sz="4" w:space="0"/>
            </w:tcBorders>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34" w:hRule="atLeast"/>
        </w:trPr>
        <w:tc>
          <w:tcPr>
            <w:tcW w:w="1272" w:type="dxa"/>
            <w:tcBorders>
              <w:left w:val="single" w:color="auto" w:sz="4" w:space="0"/>
            </w:tcBorders>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COD</w:t>
            </w:r>
          </w:p>
        </w:tc>
        <w:tc>
          <w:tcPr>
            <w:tcW w:w="3955" w:type="dxa"/>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《水质 化学需氧量的测定 重铬酸盐法》</w:t>
            </w:r>
          </w:p>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(HJ 828-2017)</w:t>
            </w:r>
          </w:p>
        </w:tc>
        <w:tc>
          <w:tcPr>
            <w:tcW w:w="2106" w:type="dxa"/>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pacing w:val="-20"/>
                <w:szCs w:val="21"/>
              </w:rPr>
              <w:t>50mL全自动滴定管</w:t>
            </w:r>
          </w:p>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JR-9012 COD恒温加热器</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编号：SB28</w:t>
            </w:r>
          </w:p>
        </w:tc>
        <w:tc>
          <w:tcPr>
            <w:tcW w:w="1171" w:type="dxa"/>
            <w:tcBorders>
              <w:right w:val="single" w:color="auto" w:sz="4" w:space="0"/>
            </w:tcBorders>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34" w:hRule="atLeast"/>
        </w:trPr>
        <w:tc>
          <w:tcPr>
            <w:tcW w:w="1272" w:type="dxa"/>
            <w:tcBorders>
              <w:left w:val="single" w:color="auto" w:sz="4" w:space="0"/>
            </w:tcBorders>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氨氮</w:t>
            </w:r>
          </w:p>
        </w:tc>
        <w:tc>
          <w:tcPr>
            <w:tcW w:w="3955" w:type="dxa"/>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《水质 氨氮的测定 纳氏试剂分光光度法》（HJ 535-2009）</w:t>
            </w:r>
          </w:p>
        </w:tc>
        <w:tc>
          <w:tcPr>
            <w:tcW w:w="2106" w:type="dxa"/>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722G可见分光光度计</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编号：SB02</w:t>
            </w:r>
          </w:p>
        </w:tc>
        <w:tc>
          <w:tcPr>
            <w:tcW w:w="1171" w:type="dxa"/>
            <w:tcBorders>
              <w:right w:val="single" w:color="auto" w:sz="4" w:space="0"/>
            </w:tcBorders>
            <w:vAlign w:val="center"/>
          </w:tcPr>
          <w:p>
            <w:pPr>
              <w:spacing w:line="24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0.025mg/L</w:t>
            </w:r>
          </w:p>
        </w:tc>
      </w:tr>
    </w:tbl>
    <w:p>
      <w:pPr>
        <w:keepNext w:val="0"/>
        <w:keepLines w:val="0"/>
        <w:pageBreakBefore w:val="0"/>
        <w:widowControl w:val="0"/>
        <w:kinsoku/>
        <w:wordWrap/>
        <w:overflowPunct/>
        <w:topLinePunct w:val="0"/>
        <w:autoSpaceDE/>
        <w:autoSpaceDN/>
        <w:bidi w:val="0"/>
        <w:adjustRightInd/>
        <w:snapToGrid/>
        <w:spacing w:before="157" w:beforeLines="50" w:line="400" w:lineRule="atLeast"/>
        <w:ind w:left="0" w:leftChars="0" w:right="0" w:rightChars="0" w:firstLine="0" w:firstLineChars="0"/>
        <w:jc w:val="center"/>
        <w:textAlignment w:val="auto"/>
        <w:outlineLvl w:val="9"/>
        <w:rPr>
          <w:rFonts w:ascii="宋体"/>
          <w:b/>
          <w:sz w:val="24"/>
        </w:rPr>
      </w:pPr>
      <w:r>
        <w:rPr>
          <w:rFonts w:hint="eastAsia" w:ascii="宋体" w:hAnsi="宋体"/>
          <w:b/>
          <w:sz w:val="24"/>
        </w:rPr>
        <w:t>表</w:t>
      </w:r>
      <w:r>
        <w:rPr>
          <w:rFonts w:ascii="宋体" w:hAnsi="宋体"/>
          <w:b/>
          <w:sz w:val="24"/>
        </w:rPr>
        <w:t>6-</w:t>
      </w:r>
      <w:r>
        <w:rPr>
          <w:rFonts w:hint="eastAsia" w:ascii="宋体" w:hAnsi="宋体"/>
          <w:b/>
          <w:sz w:val="24"/>
          <w:lang w:val="en-US" w:eastAsia="zh-CN"/>
        </w:rPr>
        <w:t>6</w:t>
      </w:r>
      <w:r>
        <w:rPr>
          <w:rFonts w:ascii="宋体" w:hAnsi="宋体"/>
          <w:b/>
          <w:sz w:val="24"/>
        </w:rPr>
        <w:tab/>
      </w:r>
      <w:r>
        <w:rPr>
          <w:rFonts w:ascii="宋体" w:hAnsi="宋体"/>
          <w:b/>
          <w:sz w:val="24"/>
        </w:rPr>
        <w:t xml:space="preserve"> </w:t>
      </w:r>
      <w:r>
        <w:rPr>
          <w:rFonts w:hint="eastAsia" w:ascii="宋体" w:hAnsi="宋体"/>
          <w:b/>
          <w:sz w:val="24"/>
        </w:rPr>
        <w:t>厂界噪声检测分析方法及所用仪器</w:t>
      </w:r>
    </w:p>
    <w:tbl>
      <w:tblPr>
        <w:tblStyle w:val="35"/>
        <w:tblW w:w="8516" w:type="dxa"/>
        <w:tblInd w:w="10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70"/>
        <w:gridCol w:w="3223"/>
        <w:gridCol w:w="40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trPr>
        <w:tc>
          <w:tcPr>
            <w:tcW w:w="1270" w:type="dxa"/>
            <w:tcBorders>
              <w:top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检测项目</w:t>
            </w:r>
          </w:p>
        </w:tc>
        <w:tc>
          <w:tcPr>
            <w:tcW w:w="3223" w:type="dxa"/>
            <w:tcBorders>
              <w:top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检测方法及方法来源</w:t>
            </w:r>
          </w:p>
        </w:tc>
        <w:tc>
          <w:tcPr>
            <w:tcW w:w="4023" w:type="dxa"/>
            <w:tcBorders>
              <w:top w:val="single" w:color="auto" w:sz="4" w:space="0"/>
            </w:tcBorders>
            <w:vAlign w:val="center"/>
          </w:tcPr>
          <w:p>
            <w:pPr>
              <w:spacing w:line="360" w:lineRule="auto"/>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分析仪器/检出限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21" w:hRule="atLeast"/>
        </w:trPr>
        <w:tc>
          <w:tcPr>
            <w:tcW w:w="1270" w:type="dxa"/>
            <w:tcBorders>
              <w:bottom w:val="single" w:color="auto"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厂界噪声</w:t>
            </w:r>
          </w:p>
        </w:tc>
        <w:tc>
          <w:tcPr>
            <w:tcW w:w="3223" w:type="dxa"/>
            <w:tcBorders>
              <w:bottom w:val="single" w:color="auto"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《工业企业厂界环境噪声</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排放标准》(GB 12348-2008)</w:t>
            </w:r>
          </w:p>
        </w:tc>
        <w:tc>
          <w:tcPr>
            <w:tcW w:w="4023" w:type="dxa"/>
            <w:tcBorders>
              <w:bottom w:val="single" w:color="auto" w:sz="4" w:space="0"/>
            </w:tcBorders>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AWA6228</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多功能声级计 编号：SB20-1</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AWA6221A声校准器 编号：SB21</w:t>
            </w:r>
          </w:p>
        </w:tc>
      </w:tr>
    </w:tbl>
    <w:p>
      <w:pPr>
        <w:pStyle w:val="5"/>
        <w:rPr>
          <w:rFonts w:hint="eastAsia"/>
        </w:rPr>
      </w:pPr>
      <w:bookmarkStart w:id="95" w:name="_Toc503884777"/>
      <w:r>
        <w:br w:type="page"/>
      </w:r>
      <w:r>
        <w:t xml:space="preserve">6.2.3 </w:t>
      </w:r>
      <w:r>
        <w:rPr>
          <w:rFonts w:hint="eastAsia"/>
        </w:rPr>
        <w:t>检测点位示意图</w:t>
      </w:r>
      <w:bookmarkEnd w:id="95"/>
    </w:p>
    <w:p>
      <w:pPr>
        <w:pStyle w:val="5"/>
        <w:spacing w:beforeLines="50" w:afterLines="50"/>
        <w:rPr>
          <w:rFonts w:ascii="宋体" w:hAnsi="宋体" w:eastAsia="宋体" w:cs="Times New Roman"/>
        </w:rPr>
      </w:pPr>
      <w:r>
        <w:rPr>
          <w:rFonts w:ascii="宋体" w:hAnsi="宋体" w:eastAsia="宋体" w:cs="Times New Roman"/>
        </w:rPr>
        <w:t>6.2.3.1</w:t>
      </w:r>
      <w:r>
        <w:rPr>
          <w:rFonts w:hint="eastAsia" w:ascii="宋体" w:hAnsi="宋体" w:eastAsia="宋体" w:cs="Times New Roman"/>
        </w:rPr>
        <w:t>无组织排放检测点位示意图</w:t>
      </w:r>
    </w:p>
    <w:p>
      <w:pPr>
        <w:pStyle w:val="5"/>
        <w:keepNext w:val="0"/>
        <w:keepLines w:val="0"/>
        <w:pageBreakBefore w:val="0"/>
        <w:widowControl w:val="0"/>
        <w:kinsoku/>
        <w:wordWrap/>
        <w:overflowPunct/>
        <w:topLinePunct w:val="0"/>
        <w:autoSpaceDE/>
        <w:autoSpaceDN/>
        <w:bidi w:val="0"/>
        <w:adjustRightInd/>
        <w:snapToGrid/>
        <w:spacing w:before="313" w:beforeLines="100" w:after="157" w:afterLines="50" w:line="480" w:lineRule="atLeast"/>
        <w:ind w:left="0" w:leftChars="0" w:right="0" w:rightChars="0" w:firstLine="0" w:firstLineChars="0"/>
        <w:jc w:val="both"/>
        <w:textAlignment w:val="auto"/>
        <w:outlineLvl w:val="2"/>
        <w:rPr>
          <w:rFonts w:ascii="宋体" w:hAnsi="宋体" w:eastAsia="宋体" w:cs="Times New Roman"/>
        </w:rPr>
      </w:pPr>
      <w:r>
        <w:rPr>
          <w:rFonts w:hint="eastAsia" w:hAnsi="宋体"/>
          <w:b/>
          <w:bCs/>
          <w:spacing w:val="0"/>
          <w:sz w:val="28"/>
          <w:szCs w:val="28"/>
        </w:rPr>
        <w:pict>
          <v:shape id="_x0000_s1181" o:spid="_x0000_s1181" o:spt="75" type="#_x0000_t75" style="position:absolute;left:0pt;margin-left:-40.15pt;margin-top:7.6pt;height:167.2pt;width:243pt;mso-wrap-distance-bottom:0pt;mso-wrap-distance-top:0pt;z-index:-483834880;mso-width-relative:page;mso-height-relative:page;" o:ole="t" filled="f" o:preferrelative="t" stroked="f" coordsize="21600,21600">
            <v:path/>
            <v:fill on="f" focussize="0,0"/>
            <v:stroke on="f"/>
            <v:imagedata r:id="rId12" cropleft="3682f" croptop="7316f" cropright="5355f" cropbottom="8244f" o:title=""/>
            <o:lock v:ext="edit" aspectratio="f"/>
            <w10:wrap type="topAndBottom"/>
          </v:shape>
          <o:OLEObject Type="Embed" ProgID="Visio.Drawing.11" ShapeID="_x0000_s1181" DrawAspect="Content" ObjectID="_1468075725" r:id="rId11">
            <o:LockedField>false</o:LockedField>
          </o:OLEObject>
        </w:pict>
      </w:r>
      <w:r>
        <w:rPr>
          <w:rFonts w:hint="eastAsia" w:hAnsi="宋体"/>
          <w:b/>
          <w:bCs/>
          <w:spacing w:val="0"/>
          <w:sz w:val="28"/>
          <w:szCs w:val="28"/>
        </w:rPr>
        <w:pict>
          <v:shape id="_x0000_s1182" o:spid="_x0000_s1182" o:spt="75" type="#_x0000_t75" style="position:absolute;left:0pt;margin-left:202.15pt;margin-top:8.2pt;height:167.2pt;width:249.5pt;mso-wrap-distance-bottom:0pt;mso-wrap-distance-top:0pt;z-index:2031394816;mso-width-relative:page;mso-height-relative:page;" o:ole="t" filled="f" o:preferrelative="t" stroked="f" coordsize="21600,21600">
            <v:path/>
            <v:fill on="f" focussize="0,0"/>
            <v:stroke on="f"/>
            <v:imagedata r:id="rId14" cropleft="3682f" croptop="7316f" cropright="5355f" cropbottom="8244f" o:title=""/>
            <o:lock v:ext="edit" aspectratio="f"/>
            <w10:wrap type="topAndBottom"/>
          </v:shape>
          <o:OLEObject Type="Embed" ProgID="Visio.Drawing.11" ShapeID="_x0000_s1182" DrawAspect="Content" ObjectID="_1468075726" r:id="rId13">
            <o:LockedField>false</o:LockedField>
          </o:OLEObject>
        </w:pict>
      </w:r>
      <w:r>
        <w:rPr>
          <w:rFonts w:ascii="宋体" w:hAnsi="宋体" w:eastAsia="宋体" w:cs="Times New Roman"/>
        </w:rPr>
        <w:t>6.2.3.</w:t>
      </w:r>
      <w:r>
        <w:rPr>
          <w:rFonts w:hint="eastAsia" w:cs="Times New Roman"/>
          <w:lang w:val="en-US" w:eastAsia="zh-CN"/>
        </w:rPr>
        <w:t>2</w:t>
      </w:r>
      <w:r>
        <w:rPr>
          <w:rFonts w:hint="eastAsia" w:cs="Times New Roman"/>
          <w:lang w:eastAsia="zh-CN"/>
        </w:rPr>
        <w:t>噪声</w:t>
      </w:r>
      <w:r>
        <w:rPr>
          <w:rFonts w:hint="eastAsia" w:ascii="宋体" w:hAnsi="宋体" w:eastAsia="宋体" w:cs="Times New Roman"/>
        </w:rPr>
        <w:t>检测点位示意图</w:t>
      </w:r>
    </w:p>
    <w:p>
      <w:pPr>
        <w:jc w:val="center"/>
      </w:pPr>
      <w:r>
        <w:rPr>
          <w:rFonts w:hint="eastAsia" w:hAnsi="宋体"/>
          <w:b/>
          <w:bCs/>
          <w:spacing w:val="0"/>
          <w:sz w:val="28"/>
          <w:szCs w:val="28"/>
        </w:rPr>
        <w:pict>
          <v:shape id="_x0000_s1180" o:spid="_x0000_s1180" o:spt="75" type="#_x0000_t75" style="position:absolute;left:0pt;margin-left:82.65pt;margin-top:12.8pt;height:167.2pt;width:243pt;mso-wrap-distance-bottom:0pt;mso-wrap-distance-top:0pt;z-index:-1219326976;mso-width-relative:page;mso-height-relative:page;" o:ole="t" filled="f" o:preferrelative="t" stroked="f" coordsize="21600,21600">
            <v:path/>
            <v:fill on="f" focussize="0,0"/>
            <v:stroke on="f"/>
            <v:imagedata r:id="rId16" cropleft="3682f" croptop="7316f" cropright="5355f" cropbottom="8244f" o:title=""/>
            <o:lock v:ext="edit" aspectratio="f"/>
            <w10:wrap type="topAndBottom"/>
          </v:shape>
          <o:OLEObject Type="Embed" ProgID="Visio.Drawing.11" ShapeID="_x0000_s1180" DrawAspect="Content" ObjectID="_1468075727" r:id="rId15">
            <o:LockedField>false</o:LockedField>
          </o:OLEObject>
        </w:pict>
      </w:r>
    </w:p>
    <w:p>
      <w:pPr>
        <w:pStyle w:val="3"/>
        <w:spacing w:line="440" w:lineRule="atLeast"/>
      </w:pPr>
      <w:bookmarkStart w:id="96" w:name="_Toc503884778"/>
      <w:r>
        <w:br w:type="page"/>
      </w:r>
      <w:r>
        <w:t xml:space="preserve">7 </w:t>
      </w:r>
      <w:r>
        <w:rPr>
          <w:rFonts w:hint="eastAsia"/>
        </w:rPr>
        <w:t>验收检测结果及分析</w:t>
      </w:r>
      <w:bookmarkEnd w:id="96"/>
    </w:p>
    <w:p>
      <w:pPr>
        <w:pStyle w:val="4"/>
        <w:spacing w:line="440" w:lineRule="atLeast"/>
      </w:pPr>
      <w:bookmarkStart w:id="97" w:name="_Toc503884779"/>
      <w:r>
        <w:t xml:space="preserve">7.1 </w:t>
      </w:r>
      <w:r>
        <w:rPr>
          <w:rFonts w:hint="eastAsia"/>
        </w:rPr>
        <w:t>检测结果</w:t>
      </w:r>
      <w:bookmarkEnd w:id="97"/>
    </w:p>
    <w:p>
      <w:pPr>
        <w:pStyle w:val="5"/>
        <w:rPr>
          <w:b/>
        </w:rPr>
      </w:pPr>
      <w:bookmarkStart w:id="98" w:name="_Toc6032"/>
      <w:bookmarkStart w:id="99" w:name="_Toc503884780"/>
      <w:bookmarkStart w:id="100" w:name="_Toc497001488"/>
      <w:r>
        <w:t xml:space="preserve">7.1.1 </w:t>
      </w:r>
      <w:r>
        <w:rPr>
          <w:rFonts w:hint="eastAsia"/>
        </w:rPr>
        <w:t>废气检测结果</w:t>
      </w:r>
      <w:bookmarkEnd w:id="98"/>
    </w:p>
    <w:p>
      <w:pPr>
        <w:pStyle w:val="2"/>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2" w:firstLineChars="200"/>
        <w:jc w:val="center"/>
        <w:textAlignment w:val="auto"/>
        <w:outlineLvl w:val="9"/>
        <w:rPr>
          <w:rFonts w:hint="eastAsia"/>
          <w:lang w:eastAsia="zh-CN"/>
        </w:rPr>
      </w:pPr>
      <w:r>
        <w:rPr>
          <w:rFonts w:hint="eastAsia" w:ascii="宋体" w:hAnsi="宋体"/>
          <w:b/>
          <w:sz w:val="24"/>
          <w:szCs w:val="24"/>
        </w:rPr>
        <w:t>表</w:t>
      </w:r>
      <w:r>
        <w:rPr>
          <w:rFonts w:ascii="宋体" w:hAnsi="宋体"/>
          <w:b/>
          <w:sz w:val="24"/>
          <w:szCs w:val="24"/>
        </w:rPr>
        <w:t>7-</w:t>
      </w:r>
      <w:r>
        <w:rPr>
          <w:rFonts w:hint="eastAsia" w:ascii="宋体" w:hAnsi="宋体"/>
          <w:b/>
          <w:sz w:val="24"/>
          <w:szCs w:val="24"/>
          <w:lang w:val="en-US" w:eastAsia="zh-CN"/>
        </w:rPr>
        <w:t>1</w:t>
      </w:r>
      <w:r>
        <w:rPr>
          <w:rFonts w:ascii="宋体" w:hAnsi="宋体"/>
          <w:b/>
          <w:sz w:val="24"/>
          <w:szCs w:val="24"/>
        </w:rPr>
        <w:t xml:space="preserve"> </w:t>
      </w:r>
      <w:r>
        <w:rPr>
          <w:rFonts w:hint="eastAsia" w:ascii="宋体" w:hAnsi="宋体"/>
          <w:b/>
          <w:sz w:val="24"/>
          <w:szCs w:val="24"/>
          <w:lang w:eastAsia="zh-CN"/>
        </w:rPr>
        <w:t>厂界无组织废气</w:t>
      </w:r>
      <w:r>
        <w:rPr>
          <w:rFonts w:hint="eastAsia" w:ascii="宋体" w:hAnsi="宋体"/>
          <w:b/>
          <w:sz w:val="24"/>
          <w:szCs w:val="24"/>
        </w:rPr>
        <w:t>检测结果</w:t>
      </w:r>
      <w:r>
        <w:rPr>
          <w:rFonts w:hint="eastAsia" w:ascii="宋体" w:hAnsi="宋体" w:cs="宋体"/>
          <w:b/>
          <w:bCs/>
          <w:spacing w:val="0"/>
          <w:sz w:val="21"/>
          <w:szCs w:val="21"/>
        </w:rPr>
        <w:t>（</w:t>
      </w:r>
      <w:r>
        <w:rPr>
          <w:rFonts w:eastAsia="宋体"/>
          <w:b/>
          <w:bCs/>
          <w:spacing w:val="0"/>
          <w:sz w:val="21"/>
          <w:szCs w:val="21"/>
        </w:rPr>
        <w:t>单位：</w:t>
      </w:r>
      <w:r>
        <w:rPr>
          <w:rFonts w:hint="eastAsia" w:ascii="Times New Roman" w:hAnsi="Times New Roman" w:cs="Times New Roman"/>
          <w:b/>
          <w:bCs/>
          <w:spacing w:val="0"/>
          <w:sz w:val="21"/>
          <w:szCs w:val="21"/>
          <w:lang w:val="en-US" w:eastAsia="zh-CN"/>
        </w:rPr>
        <w:t>mg/m</w:t>
      </w:r>
      <w:r>
        <w:rPr>
          <w:rFonts w:hint="eastAsia" w:ascii="Times New Roman" w:hAnsi="Times New Roman" w:cs="Times New Roman"/>
          <w:b/>
          <w:bCs/>
          <w:spacing w:val="0"/>
          <w:sz w:val="21"/>
          <w:szCs w:val="21"/>
          <w:vertAlign w:val="superscript"/>
          <w:lang w:val="en-US" w:eastAsia="zh-CN"/>
        </w:rPr>
        <w:t>3</w:t>
      </w:r>
      <w:r>
        <w:rPr>
          <w:rFonts w:hint="eastAsia" w:eastAsia="宋体"/>
          <w:b/>
          <w:bCs/>
          <w:spacing w:val="0"/>
          <w:sz w:val="21"/>
          <w:szCs w:val="21"/>
        </w:rPr>
        <w:t>）</w:t>
      </w:r>
    </w:p>
    <w:tbl>
      <w:tblPr>
        <w:tblStyle w:val="35"/>
        <w:tblW w:w="9502" w:type="dxa"/>
        <w:tblInd w:w="-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253"/>
        <w:gridCol w:w="821"/>
        <w:gridCol w:w="1108"/>
        <w:gridCol w:w="1124"/>
        <w:gridCol w:w="1124"/>
        <w:gridCol w:w="1126"/>
        <w:gridCol w:w="971"/>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155"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检测</w:t>
            </w:r>
          </w:p>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项目</w:t>
            </w:r>
          </w:p>
        </w:tc>
        <w:tc>
          <w:tcPr>
            <w:tcW w:w="1253"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检测日期</w:t>
            </w:r>
          </w:p>
        </w:tc>
        <w:tc>
          <w:tcPr>
            <w:tcW w:w="821"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单位</w:t>
            </w:r>
          </w:p>
        </w:tc>
        <w:tc>
          <w:tcPr>
            <w:tcW w:w="1108" w:type="dxa"/>
            <w:vMerge w:val="restart"/>
            <w:vAlign w:val="center"/>
          </w:tcPr>
          <w:p>
            <w:pPr>
              <w:pStyle w:val="106"/>
              <w:spacing w:line="24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检测</w:t>
            </w:r>
            <w:r>
              <w:rPr>
                <w:rFonts w:hint="eastAsia" w:ascii="Times New Roman" w:hAnsi="Times New Roman" w:cs="Times New Roman"/>
                <w:b/>
                <w:sz w:val="21"/>
                <w:szCs w:val="21"/>
                <w:lang w:eastAsia="zh-CN"/>
              </w:rPr>
              <w:t>频次</w:t>
            </w:r>
          </w:p>
        </w:tc>
        <w:tc>
          <w:tcPr>
            <w:tcW w:w="3374" w:type="dxa"/>
            <w:gridSpan w:val="3"/>
            <w:vAlign w:val="center"/>
          </w:tcPr>
          <w:p>
            <w:pPr>
              <w:pStyle w:val="106"/>
              <w:spacing w:line="240" w:lineRule="exact"/>
              <w:ind w:left="-124" w:leftChars="-59"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检测结果</w:t>
            </w:r>
          </w:p>
        </w:tc>
        <w:tc>
          <w:tcPr>
            <w:tcW w:w="971"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标准值</w:t>
            </w:r>
          </w:p>
        </w:tc>
        <w:tc>
          <w:tcPr>
            <w:tcW w:w="820" w:type="dxa"/>
            <w:vMerge w:val="restart"/>
            <w:vAlign w:val="center"/>
          </w:tcPr>
          <w:p>
            <w:pPr>
              <w:pStyle w:val="106"/>
              <w:spacing w:line="24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达标</w:t>
            </w:r>
          </w:p>
          <w:p>
            <w:pPr>
              <w:pStyle w:val="106"/>
              <w:spacing w:line="24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155"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53"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821"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108"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1124"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rPr>
              <w:t>下</w:t>
            </w:r>
            <w:r>
              <w:rPr>
                <w:rFonts w:hint="eastAsia" w:ascii="Times New Roman" w:hAnsi="Times New Roman" w:cs="Times New Roman"/>
                <w:sz w:val="21"/>
                <w:szCs w:val="21"/>
                <w:lang w:eastAsia="zh-CN"/>
              </w:rPr>
              <w:t>风向</w:t>
            </w:r>
            <w:r>
              <w:rPr>
                <w:rFonts w:hint="eastAsia" w:ascii="Times New Roman" w:hAnsi="Times New Roman" w:cs="Times New Roman"/>
                <w:sz w:val="21"/>
                <w:szCs w:val="21"/>
                <w:lang w:val="en-US" w:eastAsia="zh-CN"/>
              </w:rPr>
              <w:t>1#</w:t>
            </w:r>
          </w:p>
        </w:tc>
        <w:tc>
          <w:tcPr>
            <w:tcW w:w="1124"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rPr>
              <w:t>下风向</w:t>
            </w:r>
            <w:r>
              <w:rPr>
                <w:rFonts w:hint="eastAsia" w:ascii="Times New Roman" w:hAnsi="Times New Roman" w:cs="Times New Roman"/>
                <w:sz w:val="21"/>
                <w:szCs w:val="21"/>
                <w:lang w:val="en-US" w:eastAsia="zh-CN"/>
              </w:rPr>
              <w:t>2</w:t>
            </w:r>
            <w:r>
              <w:rPr>
                <w:rFonts w:hint="eastAsia" w:ascii="Times New Roman" w:hAnsi="Times New Roman" w:cs="Times New Roman"/>
                <w:sz w:val="21"/>
                <w:szCs w:val="21"/>
              </w:rPr>
              <w:t>#</w:t>
            </w:r>
          </w:p>
        </w:tc>
        <w:tc>
          <w:tcPr>
            <w:tcW w:w="1126"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rPr>
              <w:t>下风向</w:t>
            </w:r>
            <w:r>
              <w:rPr>
                <w:rFonts w:hint="eastAsia" w:ascii="Times New Roman" w:hAnsi="Times New Roman" w:cs="Times New Roman"/>
                <w:sz w:val="21"/>
                <w:szCs w:val="21"/>
                <w:lang w:val="en-US" w:eastAsia="zh-CN"/>
              </w:rPr>
              <w:t>3</w:t>
            </w:r>
            <w:r>
              <w:rPr>
                <w:rFonts w:hint="eastAsia" w:ascii="Times New Roman" w:hAnsi="Times New Roman" w:cs="Times New Roman"/>
                <w:sz w:val="21"/>
                <w:szCs w:val="21"/>
              </w:rPr>
              <w:t>#</w:t>
            </w:r>
          </w:p>
        </w:tc>
        <w:tc>
          <w:tcPr>
            <w:tcW w:w="971"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820"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55" w:type="dxa"/>
            <w:vMerge w:val="restart"/>
            <w:vAlign w:val="center"/>
          </w:tcPr>
          <w:p>
            <w:pPr>
              <w:pStyle w:val="106"/>
              <w:spacing w:line="240" w:lineRule="exact"/>
              <w:ind w:left="-107" w:leftChars="-51" w:right="-107" w:rightChars="-51"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颗粒物</w:t>
            </w:r>
          </w:p>
        </w:tc>
        <w:tc>
          <w:tcPr>
            <w:tcW w:w="1253"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2018.01.30</w:t>
            </w:r>
          </w:p>
        </w:tc>
        <w:tc>
          <w:tcPr>
            <w:tcW w:w="821" w:type="dxa"/>
            <w:vMerge w:val="restart"/>
            <w:vAlign w:val="center"/>
          </w:tcPr>
          <w:p>
            <w:pPr>
              <w:pStyle w:val="106"/>
              <w:spacing w:line="24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08"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第一次</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0.314</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0.380</w:t>
            </w:r>
          </w:p>
        </w:tc>
        <w:tc>
          <w:tcPr>
            <w:tcW w:w="1126"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0.330</w:t>
            </w:r>
          </w:p>
        </w:tc>
        <w:tc>
          <w:tcPr>
            <w:tcW w:w="971" w:type="dxa"/>
            <w:vMerge w:val="restart"/>
            <w:vAlign w:val="center"/>
          </w:tcPr>
          <w:p>
            <w:pPr>
              <w:pStyle w:val="106"/>
              <w:spacing w:line="24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.0</w:t>
            </w:r>
          </w:p>
        </w:tc>
        <w:tc>
          <w:tcPr>
            <w:tcW w:w="820" w:type="dxa"/>
            <w:vMerge w:val="restart"/>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55"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53"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821"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108"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第二次</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0.349</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0.332</w:t>
            </w:r>
          </w:p>
        </w:tc>
        <w:tc>
          <w:tcPr>
            <w:tcW w:w="1126"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0.364</w:t>
            </w:r>
          </w:p>
        </w:tc>
        <w:tc>
          <w:tcPr>
            <w:tcW w:w="971"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820" w:type="dxa"/>
            <w:vMerge w:val="continue"/>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55"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53"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821"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108"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第三次</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0.334</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0.318</w:t>
            </w:r>
          </w:p>
        </w:tc>
        <w:tc>
          <w:tcPr>
            <w:tcW w:w="1126"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0.388</w:t>
            </w:r>
          </w:p>
        </w:tc>
        <w:tc>
          <w:tcPr>
            <w:tcW w:w="971"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820" w:type="dxa"/>
            <w:vMerge w:val="continue"/>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55"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53"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821"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108"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第四次</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0.303</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0.320</w:t>
            </w:r>
          </w:p>
        </w:tc>
        <w:tc>
          <w:tcPr>
            <w:tcW w:w="1126"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0.335</w:t>
            </w:r>
          </w:p>
        </w:tc>
        <w:tc>
          <w:tcPr>
            <w:tcW w:w="971"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820" w:type="dxa"/>
            <w:vMerge w:val="continue"/>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55"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53"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2018.01.31</w:t>
            </w:r>
          </w:p>
        </w:tc>
        <w:tc>
          <w:tcPr>
            <w:tcW w:w="821" w:type="dxa"/>
            <w:vMerge w:val="restart"/>
            <w:vAlign w:val="center"/>
          </w:tcPr>
          <w:p>
            <w:pPr>
              <w:pStyle w:val="106"/>
              <w:spacing w:line="24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08"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第一次</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0.303</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0.405</w:t>
            </w:r>
          </w:p>
        </w:tc>
        <w:tc>
          <w:tcPr>
            <w:tcW w:w="1126"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0.354</w:t>
            </w:r>
          </w:p>
        </w:tc>
        <w:tc>
          <w:tcPr>
            <w:tcW w:w="971" w:type="dxa"/>
            <w:vMerge w:val="restart"/>
            <w:vAlign w:val="center"/>
          </w:tcPr>
          <w:p>
            <w:pPr>
              <w:pStyle w:val="106"/>
              <w:spacing w:line="24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.0</w:t>
            </w:r>
          </w:p>
        </w:tc>
        <w:tc>
          <w:tcPr>
            <w:tcW w:w="820" w:type="dxa"/>
            <w:vMerge w:val="restart"/>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55"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53"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821"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108"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第二次</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0.337</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0.388</w:t>
            </w:r>
          </w:p>
        </w:tc>
        <w:tc>
          <w:tcPr>
            <w:tcW w:w="1126"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0.371</w:t>
            </w:r>
          </w:p>
        </w:tc>
        <w:tc>
          <w:tcPr>
            <w:tcW w:w="971"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820" w:type="dxa"/>
            <w:vMerge w:val="continue"/>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55"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53"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821"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108"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第三次</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0.354</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0.320</w:t>
            </w:r>
          </w:p>
        </w:tc>
        <w:tc>
          <w:tcPr>
            <w:tcW w:w="1126"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0.337</w:t>
            </w:r>
          </w:p>
        </w:tc>
        <w:tc>
          <w:tcPr>
            <w:tcW w:w="971"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820" w:type="dxa"/>
            <w:vMerge w:val="continue"/>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155" w:type="dxa"/>
            <w:vMerge w:val="continue"/>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53"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821"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108" w:type="dxa"/>
            <w:vAlign w:val="center"/>
          </w:tcPr>
          <w:p>
            <w:pPr>
              <w:pStyle w:val="106"/>
              <w:spacing w:line="240" w:lineRule="exact"/>
              <w:ind w:left="-107" w:leftChars="-51" w:right="-122" w:rightChars="-58"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第四次</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0.371</w:t>
            </w:r>
          </w:p>
        </w:tc>
        <w:tc>
          <w:tcPr>
            <w:tcW w:w="1124"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0.337</w:t>
            </w:r>
          </w:p>
        </w:tc>
        <w:tc>
          <w:tcPr>
            <w:tcW w:w="1126" w:type="dxa"/>
            <w:vAlign w:val="center"/>
          </w:tcPr>
          <w:p>
            <w:pPr>
              <w:pStyle w:val="106"/>
              <w:spacing w:line="240" w:lineRule="exact"/>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0.353</w:t>
            </w:r>
          </w:p>
        </w:tc>
        <w:tc>
          <w:tcPr>
            <w:tcW w:w="971"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820" w:type="dxa"/>
            <w:vMerge w:val="continue"/>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5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sz w:val="21"/>
                <w:szCs w:val="21"/>
              </w:rPr>
            </w:pPr>
            <w:r>
              <w:rPr>
                <w:rFonts w:hint="eastAsia" w:hAnsi="宋体"/>
                <w:spacing w:val="0"/>
                <w:sz w:val="21"/>
                <w:szCs w:val="21"/>
                <w:lang w:eastAsia="zh-CN"/>
              </w:rPr>
              <w:t>备注</w:t>
            </w:r>
          </w:p>
        </w:tc>
        <w:tc>
          <w:tcPr>
            <w:tcW w:w="8347" w:type="dxa"/>
            <w:gridSpan w:val="8"/>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sz w:val="21"/>
                <w:szCs w:val="21"/>
              </w:rPr>
            </w:pPr>
            <w:r>
              <w:rPr>
                <w:rFonts w:hint="eastAsia" w:hAnsi="宋体"/>
                <w:spacing w:val="0"/>
                <w:sz w:val="21"/>
                <w:szCs w:val="21"/>
                <w:lang w:val="en-US" w:eastAsia="zh-CN"/>
              </w:rPr>
              <w:t>执行《大气污染物综合排放标准》（</w:t>
            </w:r>
            <w:r>
              <w:rPr>
                <w:rFonts w:hint="eastAsia" w:cs="Times New Roman"/>
                <w:spacing w:val="0"/>
                <w:sz w:val="21"/>
                <w:szCs w:val="21"/>
                <w:lang w:val="en-US" w:eastAsia="zh-CN"/>
              </w:rPr>
              <w:t>GB16297</w:t>
            </w:r>
            <w:r>
              <w:rPr>
                <w:rFonts w:hint="default" w:ascii="Times New Roman" w:hAnsi="Times New Roman" w:cs="Times New Roman"/>
                <w:spacing w:val="0"/>
                <w:sz w:val="21"/>
                <w:szCs w:val="21"/>
                <w:lang w:val="en-US" w:eastAsia="zh-CN"/>
              </w:rPr>
              <w:t>-</w:t>
            </w:r>
            <w:r>
              <w:rPr>
                <w:rFonts w:hint="eastAsia" w:cs="Times New Roman"/>
                <w:spacing w:val="0"/>
                <w:sz w:val="21"/>
                <w:szCs w:val="21"/>
                <w:lang w:val="en-US" w:eastAsia="zh-CN"/>
              </w:rPr>
              <w:t>199</w:t>
            </w:r>
            <w:r>
              <w:rPr>
                <w:rFonts w:hint="default" w:ascii="Times New Roman" w:hAnsi="Times New Roman" w:cs="Times New Roman"/>
                <w:spacing w:val="0"/>
                <w:sz w:val="21"/>
                <w:szCs w:val="21"/>
                <w:lang w:val="en-US" w:eastAsia="zh-CN"/>
              </w:rPr>
              <w:t>6）表2</w:t>
            </w:r>
            <w:r>
              <w:rPr>
                <w:rFonts w:hint="eastAsia" w:hAnsi="宋体"/>
                <w:spacing w:val="0"/>
                <w:sz w:val="21"/>
                <w:szCs w:val="21"/>
                <w:lang w:val="en-US" w:eastAsia="zh-CN"/>
              </w:rPr>
              <w:t>中无组织标准限值</w:t>
            </w:r>
          </w:p>
        </w:tc>
      </w:tr>
    </w:tbl>
    <w:p>
      <w:pPr>
        <w:pStyle w:val="5"/>
      </w:pPr>
      <w:r>
        <w:t>7.1.</w:t>
      </w:r>
      <w:r>
        <w:rPr>
          <w:rFonts w:hint="eastAsia"/>
          <w:lang w:val="en-US" w:eastAsia="zh-CN"/>
        </w:rPr>
        <w:t>2</w:t>
      </w:r>
      <w:r>
        <w:t xml:space="preserve"> </w:t>
      </w:r>
      <w:r>
        <w:rPr>
          <w:rFonts w:hint="eastAsia"/>
        </w:rPr>
        <w:t>废水检测结果</w:t>
      </w:r>
      <w:bookmarkEnd w:id="99"/>
      <w:bookmarkEnd w:id="100"/>
    </w:p>
    <w:p>
      <w:pPr>
        <w:keepNext w:val="0"/>
        <w:keepLines w:val="0"/>
        <w:pageBreakBefore w:val="0"/>
        <w:widowControl w:val="0"/>
        <w:kinsoku/>
        <w:wordWrap/>
        <w:overflowPunct/>
        <w:topLinePunct w:val="0"/>
        <w:autoSpaceDE/>
        <w:autoSpaceDN/>
        <w:bidi w:val="0"/>
        <w:adjustRightInd/>
        <w:snapToGrid/>
        <w:spacing w:line="400" w:lineRule="atLeast"/>
        <w:ind w:left="0" w:leftChars="0" w:right="0" w:rightChars="0" w:firstLine="0" w:firstLineChars="0"/>
        <w:jc w:val="center"/>
        <w:textAlignment w:val="auto"/>
        <w:outlineLvl w:val="9"/>
        <w:rPr>
          <w:rFonts w:ascii="宋体"/>
          <w:b/>
          <w:sz w:val="24"/>
          <w:szCs w:val="24"/>
        </w:rPr>
      </w:pPr>
      <w:r>
        <w:rPr>
          <w:rFonts w:hint="eastAsia" w:ascii="宋体" w:hAnsi="宋体"/>
          <w:b/>
          <w:sz w:val="24"/>
          <w:szCs w:val="24"/>
        </w:rPr>
        <w:t>表</w:t>
      </w:r>
      <w:r>
        <w:rPr>
          <w:rFonts w:ascii="宋体" w:hAnsi="宋体"/>
          <w:b/>
          <w:sz w:val="24"/>
          <w:szCs w:val="24"/>
        </w:rPr>
        <w:t>7-</w:t>
      </w:r>
      <w:r>
        <w:rPr>
          <w:rFonts w:hint="eastAsia" w:ascii="宋体" w:hAnsi="宋体"/>
          <w:b/>
          <w:sz w:val="24"/>
          <w:szCs w:val="24"/>
          <w:lang w:val="en-US" w:eastAsia="zh-CN"/>
        </w:rPr>
        <w:t>2</w:t>
      </w:r>
      <w:r>
        <w:rPr>
          <w:rFonts w:ascii="宋体" w:hAnsi="宋体"/>
          <w:b/>
          <w:sz w:val="24"/>
          <w:szCs w:val="24"/>
        </w:rPr>
        <w:t xml:space="preserve"> </w:t>
      </w:r>
      <w:r>
        <w:rPr>
          <w:rFonts w:hint="eastAsia" w:ascii="宋体" w:hAnsi="宋体"/>
          <w:b/>
          <w:sz w:val="24"/>
          <w:szCs w:val="24"/>
        </w:rPr>
        <w:t>废水检测结果</w:t>
      </w:r>
    </w:p>
    <w:tbl>
      <w:tblPr>
        <w:tblStyle w:val="35"/>
        <w:tblpPr w:leftFromText="181" w:rightFromText="181" w:vertAnchor="text" w:horzAnchor="page" w:tblpXSpec="center" w:tblpY="120"/>
        <w:tblOverlap w:val="never"/>
        <w:tblW w:w="94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969"/>
        <w:gridCol w:w="1241"/>
        <w:gridCol w:w="1050"/>
        <w:gridCol w:w="704"/>
        <w:gridCol w:w="704"/>
        <w:gridCol w:w="704"/>
        <w:gridCol w:w="704"/>
        <w:gridCol w:w="704"/>
        <w:gridCol w:w="1050"/>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919"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检测日期</w:t>
            </w:r>
          </w:p>
        </w:tc>
        <w:tc>
          <w:tcPr>
            <w:tcW w:w="969"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检测点位</w:t>
            </w:r>
          </w:p>
        </w:tc>
        <w:tc>
          <w:tcPr>
            <w:tcW w:w="1241"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检测</w:t>
            </w:r>
          </w:p>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项目</w:t>
            </w:r>
          </w:p>
        </w:tc>
        <w:tc>
          <w:tcPr>
            <w:tcW w:w="1050" w:type="dxa"/>
            <w:vMerge w:val="restart"/>
            <w:vAlign w:val="center"/>
          </w:tcPr>
          <w:p>
            <w:pPr>
              <w:pStyle w:val="106"/>
              <w:spacing w:line="24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单位</w:t>
            </w:r>
          </w:p>
        </w:tc>
        <w:tc>
          <w:tcPr>
            <w:tcW w:w="3520" w:type="dxa"/>
            <w:gridSpan w:val="5"/>
            <w:vAlign w:val="center"/>
          </w:tcPr>
          <w:p>
            <w:pPr>
              <w:pStyle w:val="106"/>
              <w:spacing w:line="240" w:lineRule="exact"/>
              <w:ind w:left="-124" w:leftChars="-59"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检测结果</w:t>
            </w:r>
          </w:p>
        </w:tc>
        <w:tc>
          <w:tcPr>
            <w:tcW w:w="1050"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标准值</w:t>
            </w:r>
          </w:p>
        </w:tc>
        <w:tc>
          <w:tcPr>
            <w:tcW w:w="736" w:type="dxa"/>
            <w:vMerge w:val="restart"/>
            <w:vAlign w:val="center"/>
          </w:tcPr>
          <w:p>
            <w:pPr>
              <w:pStyle w:val="106"/>
              <w:spacing w:line="24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达标</w:t>
            </w:r>
          </w:p>
          <w:p>
            <w:pPr>
              <w:pStyle w:val="106"/>
              <w:spacing w:line="240" w:lineRule="exact"/>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969"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41"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050"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704" w:type="dxa"/>
            <w:vAlign w:val="center"/>
          </w:tcPr>
          <w:p>
            <w:pPr>
              <w:pStyle w:val="106"/>
              <w:spacing w:line="240" w:lineRule="exact"/>
              <w:ind w:left="-124" w:leftChars="-59" w:right="-107" w:rightChars="-51"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04" w:type="dxa"/>
            <w:vAlign w:val="center"/>
          </w:tcPr>
          <w:p>
            <w:pPr>
              <w:pStyle w:val="106"/>
              <w:spacing w:line="240" w:lineRule="exact"/>
              <w:ind w:left="-124" w:leftChars="-59" w:right="-107" w:rightChars="-51"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704" w:type="dxa"/>
            <w:vAlign w:val="center"/>
          </w:tcPr>
          <w:p>
            <w:pPr>
              <w:pStyle w:val="106"/>
              <w:spacing w:line="240" w:lineRule="exact"/>
              <w:ind w:left="-124" w:leftChars="-59" w:right="-107" w:rightChars="-51"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704" w:type="dxa"/>
            <w:vAlign w:val="center"/>
          </w:tcPr>
          <w:p>
            <w:pPr>
              <w:pStyle w:val="106"/>
              <w:spacing w:line="240" w:lineRule="exact"/>
              <w:ind w:left="-124" w:leftChars="-59" w:right="-107" w:rightChars="-51"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704" w:type="dxa"/>
            <w:vAlign w:val="center"/>
          </w:tcPr>
          <w:p>
            <w:pPr>
              <w:pStyle w:val="106"/>
              <w:spacing w:line="240" w:lineRule="exact"/>
              <w:ind w:left="0" w:leftChars="0" w:right="-107" w:rightChars="-51"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均值</w:t>
            </w:r>
          </w:p>
        </w:tc>
        <w:tc>
          <w:tcPr>
            <w:tcW w:w="1050"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736"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restart"/>
            <w:vAlign w:val="center"/>
          </w:tcPr>
          <w:p>
            <w:pPr>
              <w:pStyle w:val="106"/>
              <w:spacing w:line="24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2018年</w:t>
            </w:r>
          </w:p>
          <w:p>
            <w:pPr>
              <w:pStyle w:val="106"/>
              <w:spacing w:line="24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pacing w:val="-20"/>
                <w:sz w:val="21"/>
                <w:szCs w:val="21"/>
              </w:rPr>
              <w:t>1月</w:t>
            </w:r>
            <w:r>
              <w:rPr>
                <w:rFonts w:hint="eastAsia" w:cs="Times New Roman"/>
                <w:spacing w:val="-20"/>
                <w:sz w:val="21"/>
                <w:szCs w:val="21"/>
                <w:lang w:val="en-US" w:eastAsia="zh-CN"/>
              </w:rPr>
              <w:t>30</w:t>
            </w:r>
            <w:r>
              <w:rPr>
                <w:rFonts w:hint="default" w:ascii="Times New Roman" w:hAnsi="Times New Roman" w:cs="Times New Roman"/>
                <w:spacing w:val="-20"/>
                <w:sz w:val="21"/>
                <w:szCs w:val="21"/>
              </w:rPr>
              <w:t>日</w:t>
            </w:r>
          </w:p>
        </w:tc>
        <w:tc>
          <w:tcPr>
            <w:tcW w:w="969" w:type="dxa"/>
            <w:vMerge w:val="restart"/>
            <w:vAlign w:val="center"/>
          </w:tcPr>
          <w:p>
            <w:pPr>
              <w:pStyle w:val="106"/>
              <w:spacing w:line="240" w:lineRule="exact"/>
              <w:ind w:left="-107" w:leftChars="-51" w:right="-107" w:rightChars="-51"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总排口</w:t>
            </w:r>
          </w:p>
        </w:tc>
        <w:tc>
          <w:tcPr>
            <w:tcW w:w="124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eastAsia" w:eastAsiaTheme="minorEastAsia"/>
                <w:spacing w:val="0"/>
                <w:kern w:val="0"/>
                <w:sz w:val="21"/>
                <w:szCs w:val="21"/>
                <w:lang w:val="en-US" w:eastAsia="zh-CN"/>
              </w:rPr>
              <w:t>pH</w:t>
            </w:r>
          </w:p>
        </w:tc>
        <w:tc>
          <w:tcPr>
            <w:tcW w:w="1050" w:type="dxa"/>
            <w:vAlign w:val="center"/>
          </w:tcPr>
          <w:p>
            <w:pPr>
              <w:widowControl/>
              <w:jc w:val="center"/>
              <w:rPr>
                <w:rFonts w:hint="default" w:ascii="Times New Roman" w:hAnsi="Times New Roman" w:cs="Times New Roman"/>
                <w:sz w:val="21"/>
                <w:szCs w:val="21"/>
              </w:rPr>
            </w:pPr>
            <w:r>
              <w:rPr>
                <w:rFonts w:hint="eastAsia" w:eastAsiaTheme="minorEastAsia"/>
                <w:spacing w:val="0"/>
                <w:kern w:val="0"/>
                <w:sz w:val="21"/>
                <w:szCs w:val="21"/>
                <w:lang w:eastAsia="zh-CN"/>
              </w:rPr>
              <w:t>无量纲</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7.85</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7.87</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7.84</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7.83</w:t>
            </w:r>
          </w:p>
        </w:tc>
        <w:tc>
          <w:tcPr>
            <w:tcW w:w="704" w:type="dxa"/>
            <w:vAlign w:val="center"/>
          </w:tcPr>
          <w:p>
            <w:pPr>
              <w:widowControl/>
              <w:spacing w:line="240" w:lineRule="exact"/>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w:t>
            </w:r>
          </w:p>
        </w:tc>
        <w:tc>
          <w:tcPr>
            <w:tcW w:w="1050" w:type="dxa"/>
            <w:vAlign w:val="center"/>
          </w:tcPr>
          <w:p>
            <w:pPr>
              <w:pStyle w:val="106"/>
              <w:spacing w:line="240" w:lineRule="exact"/>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6~9</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969" w:type="dxa"/>
            <w:vMerge w:val="continue"/>
            <w:vAlign w:val="center"/>
          </w:tcPr>
          <w:p>
            <w:pPr>
              <w:pStyle w:val="106"/>
              <w:spacing w:line="240" w:lineRule="exact"/>
              <w:ind w:left="-107" w:leftChars="-51" w:right="-107" w:rightChars="-51" w:firstLine="0" w:firstLineChars="0"/>
              <w:jc w:val="both"/>
              <w:rPr>
                <w:rFonts w:hint="default" w:ascii="Times New Roman" w:hAnsi="Times New Roman" w:cs="Times New Roman"/>
                <w:sz w:val="21"/>
                <w:szCs w:val="21"/>
              </w:rPr>
            </w:pPr>
          </w:p>
        </w:tc>
        <w:tc>
          <w:tcPr>
            <w:tcW w:w="124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kern w:val="0"/>
                <w:sz w:val="21"/>
                <w:szCs w:val="21"/>
              </w:rPr>
            </w:pPr>
            <w:r>
              <w:rPr>
                <w:rFonts w:hint="eastAsia"/>
                <w:sz w:val="21"/>
                <w:szCs w:val="21"/>
              </w:rPr>
              <w:t>COD</w:t>
            </w:r>
          </w:p>
        </w:tc>
        <w:tc>
          <w:tcPr>
            <w:tcW w:w="1050" w:type="dxa"/>
            <w:vAlign w:val="center"/>
          </w:tcPr>
          <w:p>
            <w:pPr>
              <w:widowControl/>
              <w:jc w:val="center"/>
              <w:rPr>
                <w:rFonts w:hint="default" w:ascii="Times New Roman" w:hAnsi="Times New Roman" w:cs="Times New Roman"/>
                <w:sz w:val="21"/>
                <w:szCs w:val="21"/>
              </w:rPr>
            </w:pPr>
            <w:r>
              <w:rPr>
                <w:rFonts w:eastAsiaTheme="minorEastAsia"/>
                <w:spacing w:val="0"/>
                <w:kern w:val="0"/>
                <w:sz w:val="21"/>
                <w:szCs w:val="21"/>
              </w:rPr>
              <w:t>mg/L</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42</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46</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45</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47</w:t>
            </w:r>
          </w:p>
        </w:tc>
        <w:tc>
          <w:tcPr>
            <w:tcW w:w="704" w:type="dxa"/>
            <w:vAlign w:val="center"/>
          </w:tcPr>
          <w:p>
            <w:pPr>
              <w:widowControl/>
              <w:spacing w:line="240" w:lineRule="exact"/>
              <w:jc w:val="center"/>
              <w:rPr>
                <w:rFonts w:hint="default" w:ascii="Times New Roman" w:hAnsi="Times New Roman" w:cs="Times New Roman"/>
                <w:kern w:val="0"/>
                <w:szCs w:val="21"/>
              </w:rPr>
            </w:pPr>
            <w:r>
              <w:rPr>
                <w:rFonts w:hint="default" w:ascii="Times New Roman" w:hAnsi="Times New Roman" w:cs="Times New Roman"/>
                <w:kern w:val="0"/>
                <w:szCs w:val="21"/>
              </w:rPr>
              <w:fldChar w:fldCharType="begin"/>
            </w:r>
            <w:r>
              <w:rPr>
                <w:rFonts w:hint="default" w:ascii="Times New Roman" w:hAnsi="Times New Roman" w:cs="Times New Roman"/>
                <w:kern w:val="0"/>
                <w:szCs w:val="21"/>
              </w:rPr>
              <w:instrText xml:space="preserve"> = average(E4:H4) \* MERGEFORMAT </w:instrText>
            </w:r>
            <w:r>
              <w:rPr>
                <w:rFonts w:hint="default" w:ascii="Times New Roman" w:hAnsi="Times New Roman" w:cs="Times New Roman"/>
                <w:kern w:val="0"/>
                <w:szCs w:val="21"/>
              </w:rPr>
              <w:fldChar w:fldCharType="separate"/>
            </w:r>
            <w:r>
              <w:rPr>
                <w:rFonts w:hint="default" w:ascii="Times New Roman" w:hAnsi="Times New Roman" w:cs="Times New Roman"/>
                <w:kern w:val="0"/>
                <w:szCs w:val="21"/>
              </w:rPr>
              <w:t>45</w:t>
            </w:r>
            <w:r>
              <w:rPr>
                <w:rFonts w:hint="default" w:ascii="Times New Roman" w:hAnsi="Times New Roman" w:cs="Times New Roman"/>
                <w:kern w:val="0"/>
                <w:szCs w:val="21"/>
              </w:rPr>
              <w:fldChar w:fldCharType="end"/>
            </w:r>
          </w:p>
        </w:tc>
        <w:tc>
          <w:tcPr>
            <w:tcW w:w="1050" w:type="dxa"/>
            <w:vAlign w:val="center"/>
          </w:tcPr>
          <w:p>
            <w:pPr>
              <w:pStyle w:val="106"/>
              <w:spacing w:line="240" w:lineRule="exact"/>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200</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969" w:type="dxa"/>
            <w:vMerge w:val="continue"/>
            <w:vAlign w:val="center"/>
          </w:tcPr>
          <w:p>
            <w:pPr>
              <w:pStyle w:val="106"/>
              <w:spacing w:line="240" w:lineRule="exact"/>
              <w:ind w:left="-107" w:leftChars="-51" w:right="-107" w:rightChars="-51" w:firstLine="0" w:firstLineChars="0"/>
              <w:jc w:val="both"/>
              <w:rPr>
                <w:rFonts w:hint="default" w:ascii="Times New Roman" w:hAnsi="Times New Roman" w:cs="Times New Roman"/>
                <w:sz w:val="21"/>
                <w:szCs w:val="21"/>
              </w:rPr>
            </w:pPr>
          </w:p>
        </w:tc>
        <w:tc>
          <w:tcPr>
            <w:tcW w:w="1241" w:type="dxa"/>
            <w:vAlign w:val="center"/>
          </w:tcPr>
          <w:p>
            <w:pPr>
              <w:spacing w:line="240" w:lineRule="auto"/>
              <w:jc w:val="center"/>
              <w:rPr>
                <w:rFonts w:hint="default" w:ascii="Times New Roman" w:hAnsi="Times New Roman" w:cs="Times New Roman"/>
                <w:kern w:val="0"/>
                <w:sz w:val="21"/>
                <w:szCs w:val="21"/>
              </w:rPr>
            </w:pPr>
            <w:r>
              <w:rPr>
                <w:rFonts w:eastAsiaTheme="minorEastAsia"/>
                <w:color w:val="000000"/>
                <w:spacing w:val="0"/>
                <w:sz w:val="21"/>
                <w:szCs w:val="21"/>
              </w:rPr>
              <w:t>氨氮</w:t>
            </w:r>
          </w:p>
        </w:tc>
        <w:tc>
          <w:tcPr>
            <w:tcW w:w="1050" w:type="dxa"/>
            <w:vAlign w:val="center"/>
          </w:tcPr>
          <w:p>
            <w:pPr>
              <w:widowControl/>
              <w:jc w:val="center"/>
              <w:rPr>
                <w:rFonts w:hint="default" w:ascii="Times New Roman" w:hAnsi="Times New Roman" w:cs="Times New Roman"/>
                <w:sz w:val="21"/>
                <w:szCs w:val="21"/>
              </w:rPr>
            </w:pPr>
            <w:r>
              <w:rPr>
                <w:rFonts w:eastAsiaTheme="minorEastAsia"/>
                <w:spacing w:val="0"/>
                <w:kern w:val="0"/>
                <w:sz w:val="21"/>
                <w:szCs w:val="21"/>
              </w:rPr>
              <w:t>mg/L</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13.9</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13.8</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13.7</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13.8</w:t>
            </w:r>
          </w:p>
        </w:tc>
        <w:tc>
          <w:tcPr>
            <w:tcW w:w="704" w:type="dxa"/>
            <w:vAlign w:val="center"/>
          </w:tcPr>
          <w:p>
            <w:pPr>
              <w:widowControl/>
              <w:spacing w:line="240" w:lineRule="exact"/>
              <w:jc w:val="center"/>
              <w:rPr>
                <w:rFonts w:hint="default" w:ascii="Times New Roman" w:hAnsi="Times New Roman" w:cs="Times New Roman"/>
                <w:kern w:val="0"/>
                <w:szCs w:val="21"/>
              </w:rPr>
            </w:pPr>
            <w:r>
              <w:rPr>
                <w:rFonts w:hint="default" w:ascii="Times New Roman" w:hAnsi="Times New Roman" w:cs="Times New Roman"/>
                <w:kern w:val="0"/>
                <w:szCs w:val="21"/>
              </w:rPr>
              <w:fldChar w:fldCharType="begin"/>
            </w:r>
            <w:r>
              <w:rPr>
                <w:rFonts w:hint="default" w:ascii="Times New Roman" w:hAnsi="Times New Roman" w:cs="Times New Roman"/>
                <w:kern w:val="0"/>
                <w:szCs w:val="21"/>
              </w:rPr>
              <w:instrText xml:space="preserve"> = average(E5:H5) \* MERGEFORMAT </w:instrText>
            </w:r>
            <w:r>
              <w:rPr>
                <w:rFonts w:hint="default" w:ascii="Times New Roman" w:hAnsi="Times New Roman" w:cs="Times New Roman"/>
                <w:kern w:val="0"/>
                <w:szCs w:val="21"/>
              </w:rPr>
              <w:fldChar w:fldCharType="separate"/>
            </w:r>
            <w:r>
              <w:rPr>
                <w:rFonts w:hint="default" w:ascii="Times New Roman" w:hAnsi="Times New Roman" w:cs="Times New Roman"/>
                <w:kern w:val="0"/>
                <w:szCs w:val="21"/>
              </w:rPr>
              <w:t>13.8</w:t>
            </w:r>
            <w:r>
              <w:rPr>
                <w:rFonts w:hint="default" w:ascii="Times New Roman" w:hAnsi="Times New Roman" w:cs="Times New Roman"/>
                <w:kern w:val="0"/>
                <w:szCs w:val="21"/>
              </w:rPr>
              <w:fldChar w:fldCharType="end"/>
            </w:r>
          </w:p>
        </w:tc>
        <w:tc>
          <w:tcPr>
            <w:tcW w:w="1050" w:type="dxa"/>
            <w:vAlign w:val="center"/>
          </w:tcPr>
          <w:p>
            <w:pPr>
              <w:pStyle w:val="106"/>
              <w:spacing w:line="240" w:lineRule="exact"/>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15</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969" w:type="dxa"/>
            <w:vMerge w:val="continue"/>
            <w:vAlign w:val="center"/>
          </w:tcPr>
          <w:p>
            <w:pPr>
              <w:pStyle w:val="106"/>
              <w:spacing w:line="240" w:lineRule="exact"/>
              <w:ind w:left="-107" w:leftChars="-51" w:right="-107" w:rightChars="-51" w:firstLine="0" w:firstLineChars="0"/>
              <w:jc w:val="both"/>
              <w:rPr>
                <w:rFonts w:hint="default" w:ascii="Times New Roman" w:hAnsi="Times New Roman" w:cs="Times New Roman"/>
                <w:sz w:val="21"/>
                <w:szCs w:val="21"/>
              </w:rPr>
            </w:pPr>
          </w:p>
        </w:tc>
        <w:tc>
          <w:tcPr>
            <w:tcW w:w="1241" w:type="dxa"/>
            <w:vAlign w:val="center"/>
          </w:tcPr>
          <w:p>
            <w:pPr>
              <w:spacing w:line="240" w:lineRule="auto"/>
              <w:jc w:val="center"/>
              <w:rPr>
                <w:rFonts w:hint="default" w:ascii="Times New Roman" w:hAnsi="Times New Roman" w:cs="Times New Roman"/>
                <w:spacing w:val="-20"/>
                <w:kern w:val="0"/>
                <w:sz w:val="21"/>
                <w:szCs w:val="21"/>
              </w:rPr>
            </w:pPr>
            <w:r>
              <w:rPr>
                <w:rFonts w:eastAsiaTheme="minorEastAsia"/>
                <w:color w:val="000000"/>
                <w:spacing w:val="0"/>
                <w:sz w:val="21"/>
                <w:szCs w:val="21"/>
              </w:rPr>
              <w:t>SS</w:t>
            </w:r>
          </w:p>
        </w:tc>
        <w:tc>
          <w:tcPr>
            <w:tcW w:w="1050" w:type="dxa"/>
            <w:vAlign w:val="center"/>
          </w:tcPr>
          <w:p>
            <w:pPr>
              <w:widowControl/>
              <w:jc w:val="center"/>
              <w:rPr>
                <w:rFonts w:hint="default" w:ascii="Times New Roman" w:hAnsi="Times New Roman" w:cs="Times New Roman"/>
                <w:sz w:val="21"/>
                <w:szCs w:val="21"/>
              </w:rPr>
            </w:pPr>
            <w:r>
              <w:rPr>
                <w:rFonts w:eastAsiaTheme="minorEastAsia"/>
                <w:spacing w:val="0"/>
                <w:kern w:val="0"/>
                <w:sz w:val="21"/>
                <w:szCs w:val="21"/>
              </w:rPr>
              <w:t>mg/L</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704" w:type="dxa"/>
            <w:vAlign w:val="center"/>
          </w:tcPr>
          <w:p>
            <w:pPr>
              <w:widowControl/>
              <w:spacing w:line="240" w:lineRule="exact"/>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fldChar w:fldCharType="begin"/>
            </w:r>
            <w:r>
              <w:rPr>
                <w:rFonts w:hint="default" w:ascii="Times New Roman" w:hAnsi="Times New Roman" w:cs="Times New Roman"/>
                <w:color w:val="000000"/>
                <w:kern w:val="0"/>
                <w:szCs w:val="21"/>
              </w:rPr>
              <w:instrText xml:space="preserve"> = average(E6:H6) \* MERGEFORMAT </w:instrText>
            </w:r>
            <w:r>
              <w:rPr>
                <w:rFonts w:hint="default" w:ascii="Times New Roman" w:hAnsi="Times New Roman" w:cs="Times New Roman"/>
                <w:color w:val="000000"/>
                <w:kern w:val="0"/>
                <w:szCs w:val="21"/>
              </w:rPr>
              <w:fldChar w:fldCharType="separate"/>
            </w:r>
            <w:r>
              <w:rPr>
                <w:rFonts w:hint="default" w:ascii="Times New Roman" w:hAnsi="Times New Roman" w:cs="Times New Roman"/>
                <w:color w:val="000000"/>
                <w:kern w:val="0"/>
                <w:szCs w:val="21"/>
              </w:rPr>
              <w:t>7</w:t>
            </w:r>
            <w:r>
              <w:rPr>
                <w:rFonts w:hint="default" w:ascii="Times New Roman" w:hAnsi="Times New Roman" w:cs="Times New Roman"/>
                <w:color w:val="000000"/>
                <w:kern w:val="0"/>
                <w:szCs w:val="21"/>
              </w:rPr>
              <w:fldChar w:fldCharType="end"/>
            </w:r>
          </w:p>
        </w:tc>
        <w:tc>
          <w:tcPr>
            <w:tcW w:w="1050" w:type="dxa"/>
            <w:vAlign w:val="center"/>
          </w:tcPr>
          <w:p>
            <w:pPr>
              <w:pStyle w:val="106"/>
              <w:spacing w:line="240" w:lineRule="exact"/>
              <w:ind w:firstLine="0" w:firstLineChars="0"/>
              <w:jc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100</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969" w:type="dxa"/>
            <w:vMerge w:val="continue"/>
            <w:vAlign w:val="center"/>
          </w:tcPr>
          <w:p>
            <w:pPr>
              <w:pStyle w:val="106"/>
              <w:spacing w:line="240" w:lineRule="exact"/>
              <w:ind w:left="-107" w:leftChars="-51" w:right="-107" w:rightChars="-51" w:firstLine="0" w:firstLineChars="0"/>
              <w:jc w:val="both"/>
              <w:rPr>
                <w:rFonts w:hint="default" w:ascii="Times New Roman" w:hAnsi="Times New Roman" w:cs="Times New Roman"/>
                <w:sz w:val="21"/>
                <w:szCs w:val="21"/>
              </w:rPr>
            </w:pPr>
          </w:p>
        </w:tc>
        <w:tc>
          <w:tcPr>
            <w:tcW w:w="1241"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kern w:val="0"/>
                <w:sz w:val="21"/>
                <w:szCs w:val="21"/>
              </w:rPr>
            </w:pPr>
            <w:r>
              <w:rPr>
                <w:rFonts w:hint="eastAsia"/>
                <w:color w:val="auto"/>
                <w:spacing w:val="0"/>
                <w:sz w:val="21"/>
                <w:szCs w:val="21"/>
              </w:rPr>
              <w:t>动植物油</w:t>
            </w:r>
          </w:p>
        </w:tc>
        <w:tc>
          <w:tcPr>
            <w:tcW w:w="1050" w:type="dxa"/>
            <w:vAlign w:val="center"/>
          </w:tcPr>
          <w:p>
            <w:pPr>
              <w:widowControl/>
              <w:jc w:val="center"/>
              <w:rPr>
                <w:rFonts w:hint="default" w:ascii="Times New Roman" w:hAnsi="Times New Roman" w:cs="Times New Roman"/>
                <w:sz w:val="21"/>
                <w:szCs w:val="21"/>
              </w:rPr>
            </w:pPr>
            <w:r>
              <w:rPr>
                <w:rFonts w:eastAsiaTheme="minorEastAsia"/>
                <w:spacing w:val="0"/>
                <w:kern w:val="0"/>
                <w:sz w:val="21"/>
                <w:szCs w:val="21"/>
              </w:rPr>
              <w:t>mg/L</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4.87</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4.85</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4.77</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4.78</w:t>
            </w:r>
          </w:p>
        </w:tc>
        <w:tc>
          <w:tcPr>
            <w:tcW w:w="704" w:type="dxa"/>
            <w:vAlign w:val="center"/>
          </w:tcPr>
          <w:p>
            <w:pPr>
              <w:widowControl/>
              <w:spacing w:line="240" w:lineRule="exact"/>
              <w:jc w:val="center"/>
              <w:rPr>
                <w:rFonts w:hint="default" w:ascii="Times New Roman" w:hAnsi="Times New Roman" w:cs="Times New Roman"/>
                <w:kern w:val="0"/>
                <w:szCs w:val="21"/>
              </w:rPr>
            </w:pPr>
            <w:r>
              <w:rPr>
                <w:rFonts w:hint="default" w:ascii="Times New Roman" w:hAnsi="Times New Roman" w:cs="Times New Roman"/>
                <w:kern w:val="0"/>
                <w:szCs w:val="21"/>
              </w:rPr>
              <w:fldChar w:fldCharType="begin"/>
            </w:r>
            <w:r>
              <w:rPr>
                <w:rFonts w:hint="default" w:ascii="Times New Roman" w:hAnsi="Times New Roman" w:cs="Times New Roman"/>
                <w:kern w:val="0"/>
                <w:szCs w:val="21"/>
              </w:rPr>
              <w:instrText xml:space="preserve"> = average(E7:H7) \* MERGEFORMAT </w:instrText>
            </w:r>
            <w:r>
              <w:rPr>
                <w:rFonts w:hint="default" w:ascii="Times New Roman" w:hAnsi="Times New Roman" w:cs="Times New Roman"/>
                <w:kern w:val="0"/>
                <w:szCs w:val="21"/>
              </w:rPr>
              <w:fldChar w:fldCharType="separate"/>
            </w:r>
            <w:r>
              <w:rPr>
                <w:rFonts w:hint="default" w:ascii="Times New Roman" w:hAnsi="Times New Roman" w:cs="Times New Roman"/>
                <w:kern w:val="0"/>
                <w:szCs w:val="21"/>
              </w:rPr>
              <w:t>4.8</w:t>
            </w:r>
            <w:r>
              <w:rPr>
                <w:rFonts w:hint="eastAsia" w:ascii="Times New Roman" w:hAnsi="Times New Roman" w:cs="Times New Roman"/>
                <w:kern w:val="0"/>
                <w:szCs w:val="21"/>
                <w:lang w:val="en-US" w:eastAsia="zh-CN"/>
              </w:rPr>
              <w:t>2</w:t>
            </w:r>
            <w:r>
              <w:rPr>
                <w:rFonts w:hint="default" w:ascii="Times New Roman" w:hAnsi="Times New Roman" w:cs="Times New Roman"/>
                <w:kern w:val="0"/>
                <w:szCs w:val="21"/>
              </w:rPr>
              <w:fldChar w:fldCharType="end"/>
            </w:r>
          </w:p>
        </w:tc>
        <w:tc>
          <w:tcPr>
            <w:tcW w:w="1050" w:type="dxa"/>
            <w:vAlign w:val="center"/>
          </w:tcPr>
          <w:p>
            <w:pPr>
              <w:pStyle w:val="106"/>
              <w:spacing w:line="240" w:lineRule="exact"/>
              <w:ind w:firstLine="0" w:firstLineChars="0"/>
              <w:jc w:val="center"/>
              <w:rPr>
                <w:rFonts w:hint="eastAsia" w:ascii="Times New Roman" w:hAnsi="Times New Roman" w:eastAsia="宋体" w:cs="Times New Roman"/>
                <w:sz w:val="21"/>
                <w:szCs w:val="21"/>
                <w:lang w:eastAsia="zh-CN"/>
              </w:rPr>
            </w:pPr>
            <w:r>
              <w:rPr>
                <w:rFonts w:hint="eastAsia" w:cs="Times New Roman"/>
                <w:sz w:val="21"/>
                <w:szCs w:val="21"/>
                <w:lang w:val="en-US" w:eastAsia="zh-CN"/>
              </w:rPr>
              <w:t>10</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restart"/>
            <w:vAlign w:val="center"/>
          </w:tcPr>
          <w:p>
            <w:pPr>
              <w:pStyle w:val="106"/>
              <w:spacing w:line="24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2018年</w:t>
            </w:r>
          </w:p>
          <w:p>
            <w:pPr>
              <w:pStyle w:val="106"/>
              <w:spacing w:line="240" w:lineRule="exact"/>
              <w:ind w:firstLine="0" w:firstLineChars="0"/>
              <w:jc w:val="center"/>
              <w:rPr>
                <w:rFonts w:hint="default" w:ascii="Times New Roman" w:hAnsi="Times New Roman" w:cs="Times New Roman"/>
                <w:sz w:val="21"/>
                <w:szCs w:val="21"/>
              </w:rPr>
            </w:pPr>
            <w:r>
              <w:rPr>
                <w:rFonts w:hint="default" w:ascii="Times New Roman" w:hAnsi="Times New Roman" w:cs="Times New Roman"/>
                <w:spacing w:val="-20"/>
                <w:sz w:val="21"/>
                <w:szCs w:val="21"/>
              </w:rPr>
              <w:t>1月</w:t>
            </w:r>
            <w:r>
              <w:rPr>
                <w:rFonts w:hint="eastAsia" w:cs="Times New Roman"/>
                <w:spacing w:val="-20"/>
                <w:sz w:val="21"/>
                <w:szCs w:val="21"/>
                <w:lang w:val="en-US" w:eastAsia="zh-CN"/>
              </w:rPr>
              <w:t>31</w:t>
            </w:r>
            <w:r>
              <w:rPr>
                <w:rFonts w:hint="default" w:ascii="Times New Roman" w:hAnsi="Times New Roman" w:cs="Times New Roman"/>
                <w:spacing w:val="-20"/>
                <w:sz w:val="21"/>
                <w:szCs w:val="21"/>
              </w:rPr>
              <w:t>日</w:t>
            </w:r>
          </w:p>
        </w:tc>
        <w:tc>
          <w:tcPr>
            <w:tcW w:w="969" w:type="dxa"/>
            <w:vMerge w:val="restart"/>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r>
              <w:rPr>
                <w:rFonts w:hint="eastAsia" w:cs="Times New Roman"/>
                <w:sz w:val="21"/>
                <w:szCs w:val="21"/>
                <w:lang w:eastAsia="zh-CN"/>
              </w:rPr>
              <w:t>总排口</w:t>
            </w:r>
          </w:p>
        </w:tc>
        <w:tc>
          <w:tcPr>
            <w:tcW w:w="124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eastAsia" w:eastAsiaTheme="minorEastAsia"/>
                <w:spacing w:val="0"/>
                <w:kern w:val="0"/>
                <w:sz w:val="21"/>
                <w:szCs w:val="21"/>
                <w:lang w:val="en-US" w:eastAsia="zh-CN"/>
              </w:rPr>
              <w:t>pH</w:t>
            </w:r>
          </w:p>
        </w:tc>
        <w:tc>
          <w:tcPr>
            <w:tcW w:w="1050" w:type="dxa"/>
            <w:vAlign w:val="center"/>
          </w:tcPr>
          <w:p>
            <w:pPr>
              <w:widowControl/>
              <w:jc w:val="center"/>
              <w:rPr>
                <w:rFonts w:hint="default" w:ascii="Times New Roman" w:hAnsi="Times New Roman" w:cs="Times New Roman"/>
                <w:sz w:val="21"/>
                <w:szCs w:val="21"/>
              </w:rPr>
            </w:pPr>
            <w:r>
              <w:rPr>
                <w:rFonts w:hint="eastAsia" w:eastAsiaTheme="minorEastAsia"/>
                <w:spacing w:val="0"/>
                <w:kern w:val="0"/>
                <w:sz w:val="21"/>
                <w:szCs w:val="21"/>
                <w:lang w:eastAsia="zh-CN"/>
              </w:rPr>
              <w:t>无量纲</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7.86</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7.88</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7.85</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7.84</w:t>
            </w:r>
          </w:p>
        </w:tc>
        <w:tc>
          <w:tcPr>
            <w:tcW w:w="704" w:type="dxa"/>
            <w:vAlign w:val="center"/>
          </w:tcPr>
          <w:p>
            <w:pPr>
              <w:widowControl/>
              <w:spacing w:line="240" w:lineRule="exact"/>
              <w:jc w:val="center"/>
              <w:rPr>
                <w:rFonts w:hint="default" w:ascii="Times New Roman" w:hAnsi="Times New Roman" w:cs="Times New Roman"/>
                <w:szCs w:val="21"/>
              </w:rPr>
            </w:pPr>
            <w:r>
              <w:rPr>
                <w:rFonts w:hint="eastAsia" w:ascii="Times New Roman" w:hAnsi="Times New Roman" w:cs="Times New Roman"/>
                <w:sz w:val="21"/>
                <w:szCs w:val="21"/>
                <w:lang w:eastAsia="zh-CN"/>
              </w:rPr>
              <w:t>—</w:t>
            </w:r>
          </w:p>
        </w:tc>
        <w:tc>
          <w:tcPr>
            <w:tcW w:w="1050" w:type="dxa"/>
            <w:vAlign w:val="center"/>
          </w:tcPr>
          <w:p>
            <w:pPr>
              <w:pStyle w:val="106"/>
              <w:spacing w:line="240" w:lineRule="exact"/>
              <w:ind w:firstLine="0" w:firstLineChars="0"/>
              <w:jc w:val="center"/>
              <w:rPr>
                <w:rFonts w:hint="default" w:ascii="Times New Roman" w:hAnsi="Times New Roman" w:cs="Times New Roman"/>
                <w:szCs w:val="21"/>
              </w:rPr>
            </w:pPr>
            <w:r>
              <w:rPr>
                <w:rFonts w:hint="eastAsia" w:cs="Times New Roman"/>
                <w:sz w:val="21"/>
                <w:szCs w:val="21"/>
                <w:lang w:val="en-US" w:eastAsia="zh-CN"/>
              </w:rPr>
              <w:t>6~9</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969"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41" w:type="dxa"/>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Cs w:val="21"/>
              </w:rPr>
            </w:pPr>
            <w:r>
              <w:rPr>
                <w:rFonts w:hint="eastAsia"/>
                <w:sz w:val="21"/>
                <w:szCs w:val="21"/>
              </w:rPr>
              <w:t>COD</w:t>
            </w:r>
          </w:p>
        </w:tc>
        <w:tc>
          <w:tcPr>
            <w:tcW w:w="1050" w:type="dxa"/>
            <w:vAlign w:val="center"/>
          </w:tcPr>
          <w:p>
            <w:pPr>
              <w:widowControl/>
              <w:jc w:val="center"/>
              <w:rPr>
                <w:rFonts w:hint="default" w:ascii="Times New Roman" w:hAnsi="Times New Roman" w:cs="Times New Roman"/>
                <w:sz w:val="21"/>
                <w:szCs w:val="21"/>
              </w:rPr>
            </w:pPr>
            <w:r>
              <w:rPr>
                <w:rFonts w:eastAsiaTheme="minorEastAsia"/>
                <w:spacing w:val="0"/>
                <w:kern w:val="0"/>
                <w:sz w:val="21"/>
                <w:szCs w:val="21"/>
              </w:rPr>
              <w:t>mg/L</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48</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46</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47</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45</w:t>
            </w:r>
          </w:p>
        </w:tc>
        <w:tc>
          <w:tcPr>
            <w:tcW w:w="704" w:type="dxa"/>
            <w:vAlign w:val="center"/>
          </w:tcPr>
          <w:p>
            <w:pPr>
              <w:widowControl/>
              <w:spacing w:line="240" w:lineRule="exact"/>
              <w:jc w:val="center"/>
              <w:rPr>
                <w:rFonts w:hint="default" w:ascii="Times New Roman" w:hAnsi="Times New Roman" w:cs="Times New Roman"/>
                <w:kern w:val="0"/>
                <w:szCs w:val="21"/>
              </w:rPr>
            </w:pPr>
            <w:r>
              <w:rPr>
                <w:rFonts w:hint="default" w:ascii="Times New Roman" w:hAnsi="Times New Roman" w:cs="Times New Roman"/>
                <w:kern w:val="0"/>
                <w:szCs w:val="21"/>
              </w:rPr>
              <w:fldChar w:fldCharType="begin"/>
            </w:r>
            <w:r>
              <w:rPr>
                <w:rFonts w:hint="default" w:ascii="Times New Roman" w:hAnsi="Times New Roman" w:cs="Times New Roman"/>
                <w:kern w:val="0"/>
                <w:szCs w:val="21"/>
              </w:rPr>
              <w:instrText xml:space="preserve"> = average(E9:H9) \* MERGEFORMAT </w:instrText>
            </w:r>
            <w:r>
              <w:rPr>
                <w:rFonts w:hint="default" w:ascii="Times New Roman" w:hAnsi="Times New Roman" w:cs="Times New Roman"/>
                <w:kern w:val="0"/>
                <w:szCs w:val="21"/>
              </w:rPr>
              <w:fldChar w:fldCharType="separate"/>
            </w:r>
            <w:r>
              <w:rPr>
                <w:rFonts w:hint="default" w:ascii="Times New Roman" w:hAnsi="Times New Roman" w:cs="Times New Roman"/>
                <w:kern w:val="0"/>
                <w:szCs w:val="21"/>
              </w:rPr>
              <w:t>46</w:t>
            </w:r>
            <w:r>
              <w:rPr>
                <w:rFonts w:hint="default" w:ascii="Times New Roman" w:hAnsi="Times New Roman" w:cs="Times New Roman"/>
                <w:kern w:val="0"/>
                <w:szCs w:val="21"/>
              </w:rPr>
              <w:fldChar w:fldCharType="end"/>
            </w:r>
          </w:p>
        </w:tc>
        <w:tc>
          <w:tcPr>
            <w:tcW w:w="1050" w:type="dxa"/>
            <w:vAlign w:val="center"/>
          </w:tcPr>
          <w:p>
            <w:pPr>
              <w:pStyle w:val="106"/>
              <w:spacing w:line="240" w:lineRule="exact"/>
              <w:ind w:firstLine="0" w:firstLineChars="0"/>
              <w:jc w:val="center"/>
              <w:rPr>
                <w:rFonts w:hint="default" w:ascii="Times New Roman" w:hAnsi="Times New Roman" w:cs="Times New Roman"/>
                <w:sz w:val="21"/>
                <w:szCs w:val="21"/>
              </w:rPr>
            </w:pPr>
            <w:r>
              <w:rPr>
                <w:rFonts w:hint="eastAsia" w:cs="Times New Roman"/>
                <w:sz w:val="21"/>
                <w:szCs w:val="21"/>
                <w:lang w:val="en-US" w:eastAsia="zh-CN"/>
              </w:rPr>
              <w:t>200</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969"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41" w:type="dxa"/>
            <w:vAlign w:val="center"/>
          </w:tcPr>
          <w:p>
            <w:pPr>
              <w:spacing w:line="240" w:lineRule="auto"/>
              <w:jc w:val="center"/>
              <w:rPr>
                <w:rFonts w:hint="default" w:ascii="Times New Roman" w:hAnsi="Times New Roman" w:cs="Times New Roman"/>
                <w:szCs w:val="21"/>
              </w:rPr>
            </w:pPr>
            <w:r>
              <w:rPr>
                <w:rFonts w:eastAsiaTheme="minorEastAsia"/>
                <w:color w:val="000000"/>
                <w:spacing w:val="0"/>
                <w:sz w:val="21"/>
                <w:szCs w:val="21"/>
              </w:rPr>
              <w:t>氨氮</w:t>
            </w:r>
          </w:p>
        </w:tc>
        <w:tc>
          <w:tcPr>
            <w:tcW w:w="1050" w:type="dxa"/>
            <w:vAlign w:val="center"/>
          </w:tcPr>
          <w:p>
            <w:pPr>
              <w:widowControl/>
              <w:jc w:val="center"/>
              <w:rPr>
                <w:rFonts w:hint="default" w:ascii="Times New Roman" w:hAnsi="Times New Roman" w:cs="Times New Roman"/>
                <w:sz w:val="21"/>
                <w:szCs w:val="21"/>
              </w:rPr>
            </w:pPr>
            <w:r>
              <w:rPr>
                <w:rFonts w:eastAsiaTheme="minorEastAsia"/>
                <w:spacing w:val="0"/>
                <w:kern w:val="0"/>
                <w:sz w:val="21"/>
                <w:szCs w:val="21"/>
              </w:rPr>
              <w:t>mg/L</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13.6</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13.7</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13.6</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13.5</w:t>
            </w:r>
          </w:p>
        </w:tc>
        <w:tc>
          <w:tcPr>
            <w:tcW w:w="704" w:type="dxa"/>
            <w:vAlign w:val="center"/>
          </w:tcPr>
          <w:p>
            <w:pPr>
              <w:widowControl/>
              <w:spacing w:line="240" w:lineRule="exact"/>
              <w:jc w:val="center"/>
              <w:rPr>
                <w:rFonts w:hint="default" w:ascii="Times New Roman" w:hAnsi="Times New Roman" w:cs="Times New Roman"/>
                <w:kern w:val="0"/>
                <w:szCs w:val="21"/>
              </w:rPr>
            </w:pPr>
            <w:r>
              <w:rPr>
                <w:rFonts w:hint="default" w:ascii="Times New Roman" w:hAnsi="Times New Roman" w:cs="Times New Roman"/>
                <w:kern w:val="0"/>
                <w:szCs w:val="21"/>
              </w:rPr>
              <w:fldChar w:fldCharType="begin"/>
            </w:r>
            <w:r>
              <w:rPr>
                <w:rFonts w:hint="default" w:ascii="Times New Roman" w:hAnsi="Times New Roman" w:cs="Times New Roman"/>
                <w:kern w:val="0"/>
                <w:szCs w:val="21"/>
              </w:rPr>
              <w:instrText xml:space="preserve"> = average(E10:H10) \* MERGEFORMAT </w:instrText>
            </w:r>
            <w:r>
              <w:rPr>
                <w:rFonts w:hint="default" w:ascii="Times New Roman" w:hAnsi="Times New Roman" w:cs="Times New Roman"/>
                <w:kern w:val="0"/>
                <w:szCs w:val="21"/>
              </w:rPr>
              <w:fldChar w:fldCharType="separate"/>
            </w:r>
            <w:r>
              <w:rPr>
                <w:rFonts w:hint="default" w:ascii="Times New Roman" w:hAnsi="Times New Roman" w:cs="Times New Roman"/>
                <w:kern w:val="0"/>
                <w:szCs w:val="21"/>
              </w:rPr>
              <w:t>13.6</w:t>
            </w:r>
            <w:r>
              <w:rPr>
                <w:rFonts w:hint="default" w:ascii="Times New Roman" w:hAnsi="Times New Roman" w:cs="Times New Roman"/>
                <w:kern w:val="0"/>
                <w:szCs w:val="21"/>
              </w:rPr>
              <w:fldChar w:fldCharType="end"/>
            </w:r>
          </w:p>
        </w:tc>
        <w:tc>
          <w:tcPr>
            <w:tcW w:w="1050" w:type="dxa"/>
            <w:vAlign w:val="center"/>
          </w:tcPr>
          <w:p>
            <w:pPr>
              <w:pStyle w:val="106"/>
              <w:spacing w:line="240" w:lineRule="exact"/>
              <w:ind w:firstLine="0" w:firstLineChars="0"/>
              <w:jc w:val="center"/>
              <w:rPr>
                <w:rFonts w:hint="default" w:ascii="Times New Roman" w:hAnsi="Times New Roman" w:cs="Times New Roman"/>
                <w:sz w:val="21"/>
                <w:szCs w:val="21"/>
              </w:rPr>
            </w:pPr>
            <w:r>
              <w:rPr>
                <w:rFonts w:hint="eastAsia" w:cs="Times New Roman"/>
                <w:sz w:val="21"/>
                <w:szCs w:val="21"/>
                <w:lang w:val="en-US" w:eastAsia="zh-CN"/>
              </w:rPr>
              <w:t>15</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969"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41" w:type="dxa"/>
            <w:vAlign w:val="center"/>
          </w:tcPr>
          <w:p>
            <w:pPr>
              <w:spacing w:line="240" w:lineRule="auto"/>
              <w:jc w:val="center"/>
              <w:rPr>
                <w:rFonts w:hint="default" w:ascii="Times New Roman" w:hAnsi="Times New Roman" w:cs="Times New Roman"/>
                <w:spacing w:val="-20"/>
                <w:szCs w:val="21"/>
              </w:rPr>
            </w:pPr>
            <w:r>
              <w:rPr>
                <w:rFonts w:eastAsiaTheme="minorEastAsia"/>
                <w:color w:val="000000"/>
                <w:spacing w:val="0"/>
                <w:sz w:val="21"/>
                <w:szCs w:val="21"/>
              </w:rPr>
              <w:t>SS</w:t>
            </w:r>
          </w:p>
        </w:tc>
        <w:tc>
          <w:tcPr>
            <w:tcW w:w="1050" w:type="dxa"/>
            <w:vAlign w:val="center"/>
          </w:tcPr>
          <w:p>
            <w:pPr>
              <w:widowControl/>
              <w:jc w:val="center"/>
              <w:rPr>
                <w:rFonts w:hint="default" w:ascii="Times New Roman" w:hAnsi="Times New Roman" w:cs="Times New Roman"/>
                <w:sz w:val="21"/>
                <w:szCs w:val="21"/>
              </w:rPr>
            </w:pPr>
            <w:r>
              <w:rPr>
                <w:rFonts w:eastAsiaTheme="minorEastAsia"/>
                <w:spacing w:val="0"/>
                <w:kern w:val="0"/>
                <w:sz w:val="21"/>
                <w:szCs w:val="21"/>
              </w:rPr>
              <w:t>mg/L</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704" w:type="dxa"/>
            <w:vAlign w:val="center"/>
          </w:tcPr>
          <w:p>
            <w:pPr>
              <w:widowControl/>
              <w:spacing w:line="240" w:lineRule="exact"/>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fldChar w:fldCharType="begin"/>
            </w:r>
            <w:r>
              <w:rPr>
                <w:rFonts w:hint="default" w:ascii="Times New Roman" w:hAnsi="Times New Roman" w:cs="Times New Roman"/>
                <w:color w:val="000000"/>
                <w:kern w:val="0"/>
                <w:szCs w:val="21"/>
              </w:rPr>
              <w:instrText xml:space="preserve"> = average(E11:H11) \* MERGEFORMAT </w:instrText>
            </w:r>
            <w:r>
              <w:rPr>
                <w:rFonts w:hint="default" w:ascii="Times New Roman" w:hAnsi="Times New Roman" w:cs="Times New Roman"/>
                <w:color w:val="000000"/>
                <w:kern w:val="0"/>
                <w:szCs w:val="21"/>
              </w:rPr>
              <w:fldChar w:fldCharType="separate"/>
            </w:r>
            <w:r>
              <w:rPr>
                <w:rFonts w:hint="default" w:ascii="Times New Roman" w:hAnsi="Times New Roman" w:cs="Times New Roman"/>
                <w:color w:val="000000"/>
                <w:kern w:val="0"/>
                <w:szCs w:val="21"/>
              </w:rPr>
              <w:t>7</w:t>
            </w:r>
            <w:r>
              <w:rPr>
                <w:rFonts w:hint="default" w:ascii="Times New Roman" w:hAnsi="Times New Roman" w:cs="Times New Roman"/>
                <w:color w:val="000000"/>
                <w:kern w:val="0"/>
                <w:szCs w:val="21"/>
              </w:rPr>
              <w:fldChar w:fldCharType="end"/>
            </w:r>
          </w:p>
        </w:tc>
        <w:tc>
          <w:tcPr>
            <w:tcW w:w="1050" w:type="dxa"/>
            <w:vAlign w:val="center"/>
          </w:tcPr>
          <w:p>
            <w:pPr>
              <w:pStyle w:val="106"/>
              <w:spacing w:line="240" w:lineRule="exact"/>
              <w:ind w:firstLine="0" w:firstLineChars="0"/>
              <w:jc w:val="center"/>
              <w:rPr>
                <w:rFonts w:hint="default" w:ascii="Times New Roman" w:hAnsi="Times New Roman" w:cs="Times New Roman"/>
                <w:color w:val="000000"/>
                <w:sz w:val="21"/>
                <w:szCs w:val="21"/>
              </w:rPr>
            </w:pPr>
            <w:r>
              <w:rPr>
                <w:rFonts w:hint="eastAsia" w:cs="Times New Roman"/>
                <w:color w:val="000000"/>
                <w:sz w:val="21"/>
                <w:szCs w:val="21"/>
                <w:lang w:val="en-US" w:eastAsia="zh-CN"/>
              </w:rPr>
              <w:t>100</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19" w:type="dxa"/>
            <w:vMerge w:val="continue"/>
            <w:vAlign w:val="center"/>
          </w:tcPr>
          <w:p>
            <w:pPr>
              <w:pStyle w:val="106"/>
              <w:spacing w:line="240" w:lineRule="exact"/>
              <w:ind w:firstLine="0" w:firstLineChars="0"/>
              <w:jc w:val="center"/>
              <w:rPr>
                <w:rFonts w:hint="default" w:ascii="Times New Roman" w:hAnsi="Times New Roman" w:cs="Times New Roman"/>
                <w:sz w:val="21"/>
                <w:szCs w:val="21"/>
              </w:rPr>
            </w:pPr>
          </w:p>
        </w:tc>
        <w:tc>
          <w:tcPr>
            <w:tcW w:w="969" w:type="dxa"/>
            <w:vMerge w:val="continue"/>
            <w:vAlign w:val="center"/>
          </w:tcPr>
          <w:p>
            <w:pPr>
              <w:pStyle w:val="106"/>
              <w:spacing w:line="240" w:lineRule="exact"/>
              <w:ind w:left="-107" w:leftChars="-51" w:right="-107" w:rightChars="-51" w:firstLine="0" w:firstLineChars="0"/>
              <w:jc w:val="center"/>
              <w:rPr>
                <w:rFonts w:hint="default" w:ascii="Times New Roman" w:hAnsi="Times New Roman" w:cs="Times New Roman"/>
                <w:sz w:val="21"/>
                <w:szCs w:val="21"/>
              </w:rPr>
            </w:pPr>
          </w:p>
        </w:tc>
        <w:tc>
          <w:tcPr>
            <w:tcW w:w="1241" w:type="dxa"/>
            <w:vAlign w:val="center"/>
          </w:tcPr>
          <w:p>
            <w:pPr>
              <w:keepNext w:val="0"/>
              <w:keepLines w:val="0"/>
              <w:pageBreakBefore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default" w:ascii="Times New Roman" w:hAnsi="Times New Roman" w:cs="Times New Roman"/>
                <w:szCs w:val="21"/>
              </w:rPr>
            </w:pPr>
            <w:r>
              <w:rPr>
                <w:rFonts w:hint="eastAsia"/>
                <w:color w:val="auto"/>
                <w:spacing w:val="0"/>
                <w:sz w:val="21"/>
                <w:szCs w:val="21"/>
              </w:rPr>
              <w:t>动植物油</w:t>
            </w:r>
          </w:p>
        </w:tc>
        <w:tc>
          <w:tcPr>
            <w:tcW w:w="1050" w:type="dxa"/>
            <w:vAlign w:val="center"/>
          </w:tcPr>
          <w:p>
            <w:pPr>
              <w:widowControl/>
              <w:jc w:val="center"/>
              <w:rPr>
                <w:rFonts w:hint="default" w:ascii="Times New Roman" w:hAnsi="Times New Roman" w:cs="Times New Roman"/>
                <w:sz w:val="21"/>
                <w:szCs w:val="21"/>
              </w:rPr>
            </w:pPr>
            <w:r>
              <w:rPr>
                <w:rFonts w:eastAsiaTheme="minorEastAsia"/>
                <w:spacing w:val="0"/>
                <w:kern w:val="0"/>
                <w:sz w:val="21"/>
                <w:szCs w:val="21"/>
              </w:rPr>
              <w:t>mg/L</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4.75</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4.73</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4.73</w:t>
            </w:r>
          </w:p>
        </w:tc>
        <w:tc>
          <w:tcPr>
            <w:tcW w:w="704"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4.77</w:t>
            </w:r>
          </w:p>
        </w:tc>
        <w:tc>
          <w:tcPr>
            <w:tcW w:w="704" w:type="dxa"/>
            <w:vAlign w:val="center"/>
          </w:tcPr>
          <w:p>
            <w:pPr>
              <w:widowControl/>
              <w:spacing w:line="240" w:lineRule="exact"/>
              <w:jc w:val="center"/>
              <w:rPr>
                <w:rFonts w:hint="default" w:ascii="Times New Roman" w:hAnsi="Times New Roman" w:cs="Times New Roman"/>
                <w:kern w:val="0"/>
                <w:szCs w:val="21"/>
              </w:rPr>
            </w:pPr>
            <w:r>
              <w:rPr>
                <w:rFonts w:hint="default" w:ascii="Times New Roman" w:hAnsi="Times New Roman" w:cs="Times New Roman"/>
                <w:kern w:val="0"/>
                <w:szCs w:val="21"/>
              </w:rPr>
              <w:fldChar w:fldCharType="begin"/>
            </w:r>
            <w:r>
              <w:rPr>
                <w:rFonts w:hint="default" w:ascii="Times New Roman" w:hAnsi="Times New Roman" w:cs="Times New Roman"/>
                <w:kern w:val="0"/>
                <w:szCs w:val="21"/>
              </w:rPr>
              <w:instrText xml:space="preserve"> = average(E12:H12) \* MERGEFORMAT </w:instrText>
            </w:r>
            <w:r>
              <w:rPr>
                <w:rFonts w:hint="default" w:ascii="Times New Roman" w:hAnsi="Times New Roman" w:cs="Times New Roman"/>
                <w:kern w:val="0"/>
                <w:szCs w:val="21"/>
              </w:rPr>
              <w:fldChar w:fldCharType="separate"/>
            </w:r>
            <w:r>
              <w:rPr>
                <w:rFonts w:hint="default" w:ascii="Times New Roman" w:hAnsi="Times New Roman" w:cs="Times New Roman"/>
                <w:kern w:val="0"/>
                <w:szCs w:val="21"/>
              </w:rPr>
              <w:t>4.74</w:t>
            </w:r>
            <w:r>
              <w:rPr>
                <w:rFonts w:hint="default" w:ascii="Times New Roman" w:hAnsi="Times New Roman" w:cs="Times New Roman"/>
                <w:kern w:val="0"/>
                <w:szCs w:val="21"/>
              </w:rPr>
              <w:fldChar w:fldCharType="end"/>
            </w:r>
          </w:p>
        </w:tc>
        <w:tc>
          <w:tcPr>
            <w:tcW w:w="1050" w:type="dxa"/>
            <w:vAlign w:val="center"/>
          </w:tcPr>
          <w:p>
            <w:pPr>
              <w:pStyle w:val="106"/>
              <w:spacing w:line="240" w:lineRule="exact"/>
              <w:ind w:firstLine="0" w:firstLineChars="0"/>
              <w:jc w:val="center"/>
              <w:rPr>
                <w:rFonts w:hint="default" w:ascii="Times New Roman" w:hAnsi="Times New Roman" w:cs="Times New Roman"/>
                <w:sz w:val="21"/>
                <w:szCs w:val="21"/>
              </w:rPr>
            </w:pPr>
            <w:r>
              <w:rPr>
                <w:rFonts w:hint="eastAsia" w:cs="Times New Roman"/>
                <w:sz w:val="21"/>
                <w:szCs w:val="21"/>
                <w:lang w:val="en-US" w:eastAsia="zh-CN"/>
              </w:rPr>
              <w:t>10</w:t>
            </w:r>
          </w:p>
        </w:tc>
        <w:tc>
          <w:tcPr>
            <w:tcW w:w="736" w:type="dxa"/>
            <w:vAlign w:val="center"/>
          </w:tcPr>
          <w:p>
            <w:pPr>
              <w:pStyle w:val="106"/>
              <w:spacing w:line="240" w:lineRule="exact"/>
              <w:ind w:left="-107" w:leftChars="-51" w:right="-76" w:rightChars="-36"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7" w:hRule="atLeast"/>
          <w:jc w:val="center"/>
        </w:trPr>
        <w:tc>
          <w:tcPr>
            <w:tcW w:w="919" w:type="dxa"/>
            <w:vAlign w:val="center"/>
          </w:tcPr>
          <w:p>
            <w:pPr>
              <w:spacing w:before="50"/>
              <w:ind w:right="-191" w:rightChars="-91"/>
              <w:jc w:val="center"/>
              <w:rPr>
                <w:rFonts w:hint="default" w:ascii="Times New Roman" w:hAnsi="Times New Roman" w:cs="Times New Roman"/>
                <w:sz w:val="21"/>
                <w:szCs w:val="21"/>
              </w:rPr>
            </w:pPr>
            <w:r>
              <w:rPr>
                <w:rFonts w:hint="default" w:ascii="Times New Roman" w:hAnsi="Times New Roman" w:cs="Times New Roman"/>
                <w:kern w:val="0"/>
                <w:szCs w:val="21"/>
              </w:rPr>
              <w:t>备注</w:t>
            </w:r>
          </w:p>
        </w:tc>
        <w:tc>
          <w:tcPr>
            <w:tcW w:w="8566" w:type="dxa"/>
            <w:gridSpan w:val="10"/>
            <w:vAlign w:val="center"/>
          </w:tcPr>
          <w:p>
            <w:pPr>
              <w:adjustRightInd w:val="0"/>
              <w:snapToGrid w:val="0"/>
              <w:jc w:val="both"/>
              <w:textAlignment w:val="baseline"/>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执行</w:t>
            </w:r>
            <w:r>
              <w:rPr>
                <w:rFonts w:hint="default" w:ascii="Times New Roman" w:hAnsi="Times New Roman" w:cs="Times New Roman"/>
                <w:kern w:val="0"/>
                <w:szCs w:val="21"/>
                <w:lang w:val="en-US" w:eastAsia="zh-CN"/>
              </w:rPr>
              <w:t>《钢铁工业水污染物排放标准》(GB13456-2012)表2间接排放限值</w:t>
            </w:r>
            <w:r>
              <w:rPr>
                <w:rFonts w:hint="eastAsia" w:ascii="Times New Roman" w:hAnsi="Times New Roman" w:cs="Times New Roman"/>
                <w:kern w:val="0"/>
                <w:szCs w:val="21"/>
                <w:lang w:val="en-US" w:eastAsia="zh-CN"/>
              </w:rPr>
              <w:t>同时满足唐山市</w:t>
            </w:r>
            <w:r>
              <w:rPr>
                <w:rFonts w:hint="default" w:ascii="Times New Roman" w:hAnsi="Times New Roman" w:cs="Times New Roman"/>
                <w:kern w:val="0"/>
                <w:szCs w:val="21"/>
                <w:lang w:val="en-US" w:eastAsia="zh-CN"/>
              </w:rPr>
              <w:t>丰南区城南污水处理厂进水水质指标</w:t>
            </w:r>
          </w:p>
        </w:tc>
      </w:tr>
    </w:tbl>
    <w:p>
      <w:pPr>
        <w:pStyle w:val="5"/>
      </w:pPr>
      <w:bookmarkStart w:id="101" w:name="_Toc503884781"/>
      <w:bookmarkStart w:id="102" w:name="_Toc497001489"/>
      <w:r>
        <w:t>7.1.</w:t>
      </w:r>
      <w:r>
        <w:rPr>
          <w:rFonts w:hint="eastAsia"/>
          <w:lang w:val="en-US" w:eastAsia="zh-CN"/>
        </w:rPr>
        <w:t>3</w:t>
      </w:r>
      <w:r>
        <w:t xml:space="preserve"> </w:t>
      </w:r>
      <w:r>
        <w:rPr>
          <w:rFonts w:hint="eastAsia"/>
        </w:rPr>
        <w:t>噪声检测结果</w:t>
      </w:r>
      <w:bookmarkEnd w:id="101"/>
      <w:bookmarkEnd w:id="102"/>
    </w:p>
    <w:p>
      <w:pPr>
        <w:jc w:val="center"/>
        <w:rPr>
          <w:rFonts w:ascii="宋体"/>
          <w:b/>
          <w:sz w:val="24"/>
          <w:szCs w:val="24"/>
        </w:rPr>
      </w:pPr>
      <w:r>
        <w:rPr>
          <w:rFonts w:hint="eastAsia" w:ascii="宋体" w:hAnsi="宋体"/>
          <w:b/>
          <w:sz w:val="24"/>
          <w:szCs w:val="24"/>
        </w:rPr>
        <w:t>表</w:t>
      </w:r>
      <w:r>
        <w:rPr>
          <w:rFonts w:ascii="宋体" w:hAnsi="宋体"/>
          <w:b/>
          <w:sz w:val="24"/>
          <w:szCs w:val="24"/>
        </w:rPr>
        <w:t xml:space="preserve"> 7-</w:t>
      </w:r>
      <w:r>
        <w:rPr>
          <w:rFonts w:hint="eastAsia" w:ascii="宋体" w:hAnsi="宋体"/>
          <w:b/>
          <w:sz w:val="24"/>
          <w:szCs w:val="24"/>
          <w:lang w:val="en-US" w:eastAsia="zh-CN"/>
        </w:rPr>
        <w:t xml:space="preserve">3 </w:t>
      </w:r>
      <w:r>
        <w:rPr>
          <w:rFonts w:ascii="宋体" w:hAnsi="宋体"/>
          <w:b/>
          <w:sz w:val="24"/>
          <w:szCs w:val="24"/>
        </w:rPr>
        <w:t xml:space="preserve"> </w:t>
      </w:r>
      <w:r>
        <w:rPr>
          <w:rFonts w:hint="eastAsia" w:ascii="宋体" w:hAnsi="宋体"/>
          <w:b/>
          <w:sz w:val="24"/>
          <w:szCs w:val="24"/>
        </w:rPr>
        <w:t>厂界噪声检测结果</w:t>
      </w:r>
    </w:p>
    <w:tbl>
      <w:tblPr>
        <w:tblStyle w:val="35"/>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949"/>
        <w:gridCol w:w="968"/>
        <w:gridCol w:w="1000"/>
        <w:gridCol w:w="970"/>
        <w:gridCol w:w="2052"/>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4" w:type="dxa"/>
            <w:vMerge w:val="restart"/>
            <w:vAlign w:val="center"/>
          </w:tcPr>
          <w:p>
            <w:pPr>
              <w:spacing w:line="240" w:lineRule="exact"/>
              <w:jc w:val="center"/>
              <w:rPr>
                <w:rFonts w:ascii="宋体"/>
                <w:b/>
                <w:szCs w:val="21"/>
              </w:rPr>
            </w:pPr>
            <w:r>
              <w:rPr>
                <w:rFonts w:hint="eastAsia" w:ascii="宋体" w:hAnsi="宋体"/>
                <w:b/>
                <w:szCs w:val="21"/>
              </w:rPr>
              <w:t>检测点位</w:t>
            </w:r>
          </w:p>
        </w:tc>
        <w:tc>
          <w:tcPr>
            <w:tcW w:w="1917" w:type="dxa"/>
            <w:gridSpan w:val="2"/>
            <w:vAlign w:val="center"/>
          </w:tcPr>
          <w:p>
            <w:pPr>
              <w:spacing w:line="240" w:lineRule="exact"/>
              <w:jc w:val="center"/>
              <w:rPr>
                <w:rFonts w:ascii="宋体"/>
                <w:b/>
                <w:szCs w:val="21"/>
              </w:rPr>
            </w:pPr>
            <w:r>
              <w:rPr>
                <w:rFonts w:ascii="宋体" w:hAnsi="宋体"/>
                <w:b/>
                <w:szCs w:val="21"/>
              </w:rPr>
              <w:t>2018-01-</w:t>
            </w:r>
            <w:r>
              <w:rPr>
                <w:rFonts w:hint="eastAsia" w:ascii="宋体" w:hAnsi="宋体"/>
                <w:b/>
                <w:szCs w:val="21"/>
                <w:lang w:val="en-US" w:eastAsia="zh-CN"/>
              </w:rPr>
              <w:t>30</w:t>
            </w:r>
          </w:p>
        </w:tc>
        <w:tc>
          <w:tcPr>
            <w:tcW w:w="1970" w:type="dxa"/>
            <w:gridSpan w:val="2"/>
            <w:vAlign w:val="center"/>
          </w:tcPr>
          <w:p>
            <w:pPr>
              <w:spacing w:line="240" w:lineRule="exact"/>
              <w:jc w:val="center"/>
              <w:rPr>
                <w:rFonts w:ascii="宋体"/>
                <w:b/>
                <w:szCs w:val="21"/>
              </w:rPr>
            </w:pPr>
            <w:r>
              <w:rPr>
                <w:rFonts w:ascii="宋体" w:hAnsi="宋体"/>
                <w:b/>
                <w:szCs w:val="21"/>
              </w:rPr>
              <w:t>2018-01-</w:t>
            </w:r>
            <w:r>
              <w:rPr>
                <w:rFonts w:hint="eastAsia" w:ascii="宋体" w:hAnsi="宋体"/>
                <w:b/>
                <w:szCs w:val="21"/>
                <w:lang w:val="en-US" w:eastAsia="zh-CN"/>
              </w:rPr>
              <w:t>31</w:t>
            </w:r>
          </w:p>
        </w:tc>
        <w:tc>
          <w:tcPr>
            <w:tcW w:w="2052" w:type="dxa"/>
            <w:vMerge w:val="restart"/>
            <w:vAlign w:val="center"/>
          </w:tcPr>
          <w:p>
            <w:pPr>
              <w:spacing w:line="240" w:lineRule="exact"/>
              <w:jc w:val="center"/>
              <w:rPr>
                <w:rFonts w:ascii="宋体"/>
                <w:b/>
                <w:szCs w:val="21"/>
              </w:rPr>
            </w:pPr>
            <w:r>
              <w:rPr>
                <w:rFonts w:hint="eastAsia" w:ascii="宋体" w:hAnsi="宋体"/>
                <w:b/>
                <w:szCs w:val="21"/>
              </w:rPr>
              <w:t>执行标准及标准值</w:t>
            </w:r>
          </w:p>
          <w:p>
            <w:pPr>
              <w:spacing w:line="240" w:lineRule="exact"/>
              <w:jc w:val="center"/>
              <w:rPr>
                <w:rFonts w:ascii="宋体"/>
                <w:b/>
                <w:szCs w:val="21"/>
              </w:rPr>
            </w:pPr>
            <w:r>
              <w:rPr>
                <w:rFonts w:ascii="宋体" w:hAnsi="宋体"/>
                <w:b/>
                <w:szCs w:val="21"/>
              </w:rPr>
              <w:t>dB(A)</w:t>
            </w:r>
          </w:p>
        </w:tc>
        <w:tc>
          <w:tcPr>
            <w:tcW w:w="1171" w:type="dxa"/>
            <w:vMerge w:val="restart"/>
            <w:vAlign w:val="center"/>
          </w:tcPr>
          <w:p>
            <w:pPr>
              <w:rPr>
                <w:b/>
              </w:rPr>
            </w:pPr>
            <w:r>
              <w:rPr>
                <w:rFonts w:hint="eastAsia" w:ascii="宋体" w:hAnsi="宋体"/>
                <w:b/>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4" w:type="dxa"/>
            <w:vMerge w:val="continue"/>
            <w:vAlign w:val="center"/>
          </w:tcPr>
          <w:p>
            <w:pPr>
              <w:spacing w:line="240" w:lineRule="exact"/>
              <w:jc w:val="center"/>
              <w:rPr>
                <w:rFonts w:ascii="宋体"/>
                <w:szCs w:val="21"/>
              </w:rPr>
            </w:pPr>
          </w:p>
        </w:tc>
        <w:tc>
          <w:tcPr>
            <w:tcW w:w="949" w:type="dxa"/>
            <w:vAlign w:val="center"/>
          </w:tcPr>
          <w:p>
            <w:pPr>
              <w:spacing w:line="240" w:lineRule="exact"/>
              <w:jc w:val="center"/>
              <w:rPr>
                <w:rFonts w:ascii="宋体"/>
                <w:b/>
                <w:szCs w:val="21"/>
              </w:rPr>
            </w:pPr>
            <w:r>
              <w:rPr>
                <w:rFonts w:hint="eastAsia" w:ascii="宋体" w:hAnsi="宋体"/>
                <w:b/>
                <w:szCs w:val="21"/>
              </w:rPr>
              <w:t>昼间</w:t>
            </w:r>
          </w:p>
        </w:tc>
        <w:tc>
          <w:tcPr>
            <w:tcW w:w="968" w:type="dxa"/>
            <w:vAlign w:val="center"/>
          </w:tcPr>
          <w:p>
            <w:pPr>
              <w:spacing w:line="240" w:lineRule="exact"/>
              <w:jc w:val="center"/>
              <w:rPr>
                <w:rFonts w:ascii="宋体"/>
                <w:b/>
                <w:szCs w:val="21"/>
              </w:rPr>
            </w:pPr>
            <w:r>
              <w:rPr>
                <w:rFonts w:hint="eastAsia" w:ascii="宋体" w:hAnsi="宋体"/>
                <w:b/>
                <w:szCs w:val="21"/>
              </w:rPr>
              <w:t>夜间</w:t>
            </w:r>
          </w:p>
        </w:tc>
        <w:tc>
          <w:tcPr>
            <w:tcW w:w="1000" w:type="dxa"/>
            <w:vAlign w:val="center"/>
          </w:tcPr>
          <w:p>
            <w:pPr>
              <w:spacing w:line="240" w:lineRule="exact"/>
              <w:jc w:val="center"/>
              <w:rPr>
                <w:rFonts w:ascii="宋体"/>
                <w:b/>
                <w:szCs w:val="21"/>
              </w:rPr>
            </w:pPr>
            <w:r>
              <w:rPr>
                <w:rFonts w:hint="eastAsia" w:ascii="宋体" w:hAnsi="宋体"/>
                <w:b/>
                <w:szCs w:val="21"/>
              </w:rPr>
              <w:t>昼间</w:t>
            </w:r>
          </w:p>
        </w:tc>
        <w:tc>
          <w:tcPr>
            <w:tcW w:w="970" w:type="dxa"/>
            <w:vAlign w:val="center"/>
          </w:tcPr>
          <w:p>
            <w:pPr>
              <w:spacing w:line="240" w:lineRule="exact"/>
              <w:jc w:val="center"/>
              <w:rPr>
                <w:rFonts w:ascii="宋体"/>
                <w:b/>
                <w:szCs w:val="21"/>
              </w:rPr>
            </w:pPr>
            <w:r>
              <w:rPr>
                <w:rFonts w:hint="eastAsia" w:ascii="宋体" w:hAnsi="宋体"/>
                <w:b/>
                <w:szCs w:val="21"/>
              </w:rPr>
              <w:t>夜间</w:t>
            </w:r>
          </w:p>
        </w:tc>
        <w:tc>
          <w:tcPr>
            <w:tcW w:w="2052" w:type="dxa"/>
            <w:vMerge w:val="continue"/>
            <w:vAlign w:val="center"/>
          </w:tcPr>
          <w:p/>
        </w:tc>
        <w:tc>
          <w:tcPr>
            <w:tcW w:w="1171"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4" w:type="dxa"/>
            <w:vAlign w:val="center"/>
          </w:tcPr>
          <w:p>
            <w:pPr>
              <w:spacing w:line="240" w:lineRule="exact"/>
              <w:jc w:val="center"/>
              <w:rPr>
                <w:rFonts w:ascii="宋体"/>
                <w:szCs w:val="21"/>
              </w:rPr>
            </w:pPr>
            <w:r>
              <w:rPr>
                <w:rFonts w:hint="eastAsia" w:ascii="宋体" w:hAnsi="宋体"/>
                <w:szCs w:val="21"/>
                <w:lang w:eastAsia="zh-CN"/>
              </w:rPr>
              <w:t>北</w:t>
            </w:r>
            <w:r>
              <w:rPr>
                <w:rFonts w:hint="eastAsia" w:ascii="宋体" w:hAnsi="宋体"/>
                <w:szCs w:val="21"/>
              </w:rPr>
              <w:t>厂界</w:t>
            </w:r>
            <w:r>
              <w:rPr>
                <w:rFonts w:ascii="宋体" w:hAnsi="宋体"/>
                <w:szCs w:val="21"/>
              </w:rPr>
              <w:t xml:space="preserve"> </w:t>
            </w:r>
            <w:r>
              <w:rPr>
                <w:rFonts w:hint="eastAsia" w:ascii="宋体" w:hAnsi="宋体"/>
                <w:szCs w:val="21"/>
              </w:rPr>
              <w:t>▲</w:t>
            </w:r>
            <w:r>
              <w:rPr>
                <w:rFonts w:ascii="宋体" w:hAnsi="宋体"/>
                <w:szCs w:val="21"/>
              </w:rPr>
              <w:t>N1</w:t>
            </w:r>
          </w:p>
        </w:tc>
        <w:tc>
          <w:tcPr>
            <w:tcW w:w="949"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58.6</w:t>
            </w:r>
          </w:p>
        </w:tc>
        <w:tc>
          <w:tcPr>
            <w:tcW w:w="968"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49.0</w:t>
            </w:r>
          </w:p>
        </w:tc>
        <w:tc>
          <w:tcPr>
            <w:tcW w:w="1000"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58.6</w:t>
            </w:r>
          </w:p>
        </w:tc>
        <w:tc>
          <w:tcPr>
            <w:tcW w:w="970"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48.8</w:t>
            </w:r>
          </w:p>
        </w:tc>
        <w:tc>
          <w:tcPr>
            <w:tcW w:w="2052" w:type="dxa"/>
            <w:vMerge w:val="restart"/>
            <w:vAlign w:val="center"/>
          </w:tcPr>
          <w:p>
            <w:pPr>
              <w:spacing w:line="240" w:lineRule="exact"/>
              <w:jc w:val="center"/>
              <w:rPr>
                <w:rFonts w:ascii="宋体"/>
                <w:szCs w:val="21"/>
              </w:rPr>
            </w:pPr>
            <w:r>
              <w:rPr>
                <w:rFonts w:ascii="宋体" w:hAnsi="宋体"/>
                <w:szCs w:val="21"/>
              </w:rPr>
              <w:t>GB12348-2008</w:t>
            </w:r>
          </w:p>
          <w:p>
            <w:pPr>
              <w:spacing w:line="240" w:lineRule="exact"/>
              <w:jc w:val="center"/>
              <w:rPr>
                <w:rFonts w:ascii="宋体"/>
                <w:szCs w:val="21"/>
              </w:rPr>
            </w:pPr>
            <w:r>
              <w:rPr>
                <w:rFonts w:hint="eastAsia" w:ascii="宋体" w:hAnsi="宋体"/>
                <w:szCs w:val="21"/>
                <w:lang w:val="en-US" w:eastAsia="zh-CN"/>
              </w:rPr>
              <w:t>3</w:t>
            </w:r>
            <w:r>
              <w:rPr>
                <w:rFonts w:hint="eastAsia" w:ascii="宋体" w:hAnsi="宋体"/>
                <w:szCs w:val="21"/>
              </w:rPr>
              <w:t>类区</w:t>
            </w:r>
          </w:p>
          <w:p>
            <w:pPr>
              <w:spacing w:line="240" w:lineRule="exact"/>
              <w:jc w:val="center"/>
              <w:rPr>
                <w:rFonts w:ascii="宋体"/>
                <w:szCs w:val="21"/>
              </w:rPr>
            </w:pPr>
            <w:r>
              <w:rPr>
                <w:rFonts w:hint="eastAsia" w:ascii="宋体" w:hAnsi="宋体"/>
                <w:szCs w:val="21"/>
              </w:rPr>
              <w:t>昼间：≤</w:t>
            </w:r>
            <w:r>
              <w:rPr>
                <w:rFonts w:ascii="宋体" w:hAnsi="宋体"/>
                <w:szCs w:val="21"/>
              </w:rPr>
              <w:t>6</w:t>
            </w:r>
            <w:r>
              <w:rPr>
                <w:rFonts w:hint="eastAsia" w:ascii="宋体" w:hAnsi="宋体"/>
                <w:szCs w:val="21"/>
                <w:lang w:val="en-US" w:eastAsia="zh-CN"/>
              </w:rPr>
              <w:t>5</w:t>
            </w:r>
          </w:p>
          <w:p>
            <w:pPr>
              <w:jc w:val="center"/>
            </w:pPr>
            <w:r>
              <w:rPr>
                <w:rFonts w:hint="eastAsia" w:ascii="宋体" w:hAnsi="宋体"/>
                <w:szCs w:val="21"/>
              </w:rPr>
              <w:t>夜间：≤</w:t>
            </w:r>
            <w:r>
              <w:rPr>
                <w:rFonts w:ascii="宋体" w:hAnsi="宋体"/>
                <w:szCs w:val="21"/>
              </w:rPr>
              <w:t>5</w:t>
            </w:r>
            <w:r>
              <w:rPr>
                <w:rFonts w:hint="eastAsia" w:ascii="宋体" w:hAnsi="宋体"/>
                <w:szCs w:val="21"/>
                <w:lang w:val="en-US" w:eastAsia="zh-CN"/>
              </w:rPr>
              <w:t>5</w:t>
            </w:r>
          </w:p>
        </w:tc>
        <w:tc>
          <w:tcPr>
            <w:tcW w:w="1171" w:type="dxa"/>
            <w:vAlign w:val="center"/>
          </w:tcPr>
          <w:p>
            <w:pPr>
              <w:spacing w:line="240" w:lineRule="exact"/>
              <w:jc w:val="center"/>
              <w:rPr>
                <w:rFonts w:ascii="宋体"/>
                <w:szCs w:val="21"/>
              </w:rPr>
            </w:pPr>
            <w:r>
              <w:rPr>
                <w:rFonts w:hint="eastAsia" w:ascii="宋体" w:hAns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4" w:type="dxa"/>
            <w:vAlign w:val="center"/>
          </w:tcPr>
          <w:p>
            <w:pPr>
              <w:spacing w:line="240" w:lineRule="exact"/>
              <w:jc w:val="center"/>
              <w:rPr>
                <w:rFonts w:ascii="宋体"/>
                <w:szCs w:val="21"/>
              </w:rPr>
            </w:pPr>
            <w:r>
              <w:rPr>
                <w:rFonts w:hint="eastAsia" w:ascii="宋体" w:hAnsi="宋体"/>
                <w:szCs w:val="21"/>
              </w:rPr>
              <w:t>西厂界</w:t>
            </w:r>
            <w:r>
              <w:rPr>
                <w:rFonts w:ascii="宋体" w:hAnsi="宋体"/>
                <w:szCs w:val="21"/>
              </w:rPr>
              <w:t xml:space="preserve"> </w:t>
            </w:r>
            <w:r>
              <w:rPr>
                <w:rFonts w:hint="eastAsia" w:ascii="宋体" w:hAnsi="宋体"/>
                <w:szCs w:val="21"/>
              </w:rPr>
              <w:t>▲</w:t>
            </w:r>
            <w:r>
              <w:rPr>
                <w:rFonts w:ascii="宋体" w:hAnsi="宋体"/>
                <w:szCs w:val="21"/>
              </w:rPr>
              <w:t>N2</w:t>
            </w:r>
          </w:p>
        </w:tc>
        <w:tc>
          <w:tcPr>
            <w:tcW w:w="949"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59.2</w:t>
            </w:r>
          </w:p>
        </w:tc>
        <w:tc>
          <w:tcPr>
            <w:tcW w:w="968"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49.4</w:t>
            </w:r>
          </w:p>
        </w:tc>
        <w:tc>
          <w:tcPr>
            <w:tcW w:w="1000"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59.5</w:t>
            </w:r>
          </w:p>
        </w:tc>
        <w:tc>
          <w:tcPr>
            <w:tcW w:w="970"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49.4</w:t>
            </w:r>
          </w:p>
        </w:tc>
        <w:tc>
          <w:tcPr>
            <w:tcW w:w="2052" w:type="dxa"/>
            <w:vMerge w:val="continue"/>
          </w:tcPr>
          <w:p/>
        </w:tc>
        <w:tc>
          <w:tcPr>
            <w:tcW w:w="1171" w:type="dxa"/>
            <w:vAlign w:val="center"/>
          </w:tcPr>
          <w:p>
            <w:pPr>
              <w:spacing w:line="240" w:lineRule="exact"/>
              <w:jc w:val="center"/>
              <w:rPr>
                <w:rFonts w:ascii="宋体"/>
                <w:szCs w:val="21"/>
              </w:rPr>
            </w:pPr>
            <w:r>
              <w:rPr>
                <w:rFonts w:hint="eastAsia" w:ascii="宋体" w:hAns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4" w:type="dxa"/>
            <w:vAlign w:val="center"/>
          </w:tcPr>
          <w:p>
            <w:pPr>
              <w:spacing w:line="240" w:lineRule="exact"/>
              <w:jc w:val="center"/>
              <w:rPr>
                <w:rFonts w:ascii="宋体"/>
                <w:szCs w:val="21"/>
              </w:rPr>
            </w:pPr>
            <w:r>
              <w:rPr>
                <w:rFonts w:hint="eastAsia" w:ascii="宋体" w:hAnsi="宋体"/>
                <w:szCs w:val="21"/>
                <w:lang w:eastAsia="zh-CN"/>
              </w:rPr>
              <w:t>南</w:t>
            </w:r>
            <w:r>
              <w:rPr>
                <w:rFonts w:hint="eastAsia" w:ascii="宋体" w:hAnsi="宋体"/>
                <w:szCs w:val="21"/>
              </w:rPr>
              <w:t>厂界</w:t>
            </w:r>
            <w:r>
              <w:rPr>
                <w:rFonts w:ascii="宋体" w:hAnsi="宋体"/>
                <w:szCs w:val="21"/>
              </w:rPr>
              <w:t xml:space="preserve"> </w:t>
            </w:r>
            <w:r>
              <w:rPr>
                <w:rFonts w:hint="eastAsia" w:ascii="宋体" w:hAnsi="宋体"/>
                <w:szCs w:val="21"/>
              </w:rPr>
              <w:t>▲</w:t>
            </w:r>
            <w:r>
              <w:rPr>
                <w:rFonts w:ascii="宋体" w:hAnsi="宋体"/>
                <w:szCs w:val="21"/>
              </w:rPr>
              <w:t>N3</w:t>
            </w:r>
          </w:p>
        </w:tc>
        <w:tc>
          <w:tcPr>
            <w:tcW w:w="949"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58.9</w:t>
            </w:r>
          </w:p>
        </w:tc>
        <w:tc>
          <w:tcPr>
            <w:tcW w:w="968"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48.5</w:t>
            </w:r>
          </w:p>
        </w:tc>
        <w:tc>
          <w:tcPr>
            <w:tcW w:w="1000"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59.0</w:t>
            </w:r>
          </w:p>
        </w:tc>
        <w:tc>
          <w:tcPr>
            <w:tcW w:w="970"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48.4</w:t>
            </w:r>
          </w:p>
        </w:tc>
        <w:tc>
          <w:tcPr>
            <w:tcW w:w="2052" w:type="dxa"/>
            <w:vMerge w:val="continue"/>
          </w:tcPr>
          <w:p/>
        </w:tc>
        <w:tc>
          <w:tcPr>
            <w:tcW w:w="1171" w:type="dxa"/>
            <w:vAlign w:val="center"/>
          </w:tcPr>
          <w:p>
            <w:pPr>
              <w:spacing w:line="240" w:lineRule="exact"/>
              <w:jc w:val="center"/>
              <w:rPr>
                <w:rFonts w:ascii="宋体"/>
                <w:szCs w:val="21"/>
              </w:rPr>
            </w:pPr>
            <w:r>
              <w:rPr>
                <w:rFonts w:hint="eastAsia" w:ascii="宋体" w:hAnsi="宋体"/>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4" w:type="dxa"/>
            <w:vAlign w:val="center"/>
          </w:tcPr>
          <w:p>
            <w:pPr>
              <w:spacing w:line="240" w:lineRule="exact"/>
              <w:jc w:val="center"/>
              <w:rPr>
                <w:rFonts w:ascii="宋体"/>
                <w:szCs w:val="21"/>
              </w:rPr>
            </w:pPr>
            <w:r>
              <w:rPr>
                <w:rFonts w:hint="eastAsia" w:ascii="宋体" w:hAnsi="宋体"/>
                <w:szCs w:val="21"/>
                <w:lang w:eastAsia="zh-CN"/>
              </w:rPr>
              <w:t>东</w:t>
            </w:r>
            <w:r>
              <w:rPr>
                <w:rFonts w:hint="eastAsia" w:ascii="宋体" w:hAnsi="宋体"/>
                <w:szCs w:val="21"/>
              </w:rPr>
              <w:t>厂界</w:t>
            </w:r>
            <w:r>
              <w:rPr>
                <w:rFonts w:ascii="宋体" w:hAnsi="宋体"/>
                <w:szCs w:val="21"/>
              </w:rPr>
              <w:t xml:space="preserve"> </w:t>
            </w:r>
            <w:r>
              <w:rPr>
                <w:rFonts w:hint="eastAsia" w:ascii="宋体" w:hAnsi="宋体"/>
                <w:szCs w:val="21"/>
              </w:rPr>
              <w:t>▲</w:t>
            </w:r>
            <w:r>
              <w:rPr>
                <w:rFonts w:ascii="宋体" w:hAnsi="宋体"/>
                <w:szCs w:val="21"/>
              </w:rPr>
              <w:t>N4</w:t>
            </w:r>
          </w:p>
        </w:tc>
        <w:tc>
          <w:tcPr>
            <w:tcW w:w="949"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58.7</w:t>
            </w:r>
          </w:p>
        </w:tc>
        <w:tc>
          <w:tcPr>
            <w:tcW w:w="968"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48.2</w:t>
            </w:r>
          </w:p>
        </w:tc>
        <w:tc>
          <w:tcPr>
            <w:tcW w:w="1000"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58.6</w:t>
            </w:r>
          </w:p>
        </w:tc>
        <w:tc>
          <w:tcPr>
            <w:tcW w:w="970" w:type="dxa"/>
            <w:vAlign w:val="center"/>
          </w:tcPr>
          <w:p>
            <w:pPr>
              <w:spacing w:line="240" w:lineRule="exact"/>
              <w:jc w:val="center"/>
              <w:rPr>
                <w:rFonts w:hint="eastAsia" w:ascii="宋体" w:eastAsia="宋体"/>
                <w:szCs w:val="21"/>
                <w:lang w:val="en-US" w:eastAsia="zh-CN"/>
              </w:rPr>
            </w:pPr>
            <w:r>
              <w:rPr>
                <w:rFonts w:hint="eastAsia" w:ascii="宋体"/>
                <w:szCs w:val="21"/>
                <w:lang w:val="en-US" w:eastAsia="zh-CN"/>
              </w:rPr>
              <w:t>48.5</w:t>
            </w:r>
          </w:p>
        </w:tc>
        <w:tc>
          <w:tcPr>
            <w:tcW w:w="2052" w:type="dxa"/>
            <w:vMerge w:val="continue"/>
          </w:tcPr>
          <w:p/>
        </w:tc>
        <w:tc>
          <w:tcPr>
            <w:tcW w:w="1171" w:type="dxa"/>
            <w:vAlign w:val="center"/>
          </w:tcPr>
          <w:p>
            <w:pPr>
              <w:spacing w:line="240" w:lineRule="exact"/>
              <w:jc w:val="center"/>
              <w:rPr>
                <w:rFonts w:ascii="宋体"/>
                <w:szCs w:val="21"/>
              </w:rPr>
            </w:pPr>
            <w:r>
              <w:rPr>
                <w:rFonts w:hint="eastAsia" w:ascii="宋体" w:hAnsi="宋体"/>
                <w:szCs w:val="21"/>
              </w:rPr>
              <w:t>达标</w:t>
            </w:r>
          </w:p>
        </w:tc>
      </w:tr>
    </w:tbl>
    <w:p>
      <w:pPr>
        <w:pStyle w:val="4"/>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pPr>
      <w:bookmarkStart w:id="103" w:name="_Toc503884782"/>
      <w:r>
        <w:t xml:space="preserve">7.2 </w:t>
      </w:r>
      <w:r>
        <w:rPr>
          <w:rFonts w:hint="eastAsia"/>
        </w:rPr>
        <w:t>检测结果分析</w:t>
      </w:r>
      <w:bookmarkEnd w:id="103"/>
    </w:p>
    <w:p>
      <w:pPr>
        <w:pStyle w:val="5"/>
        <w:ind w:firstLine="480" w:firstLineChars="200"/>
      </w:pPr>
      <w:bookmarkStart w:id="104" w:name="_Toc503884783"/>
      <w:bookmarkStart w:id="105" w:name="_Toc497001493"/>
      <w:r>
        <w:t xml:space="preserve">7.2.1 </w:t>
      </w:r>
      <w:r>
        <w:rPr>
          <w:rFonts w:hint="eastAsia"/>
        </w:rPr>
        <w:t>废</w:t>
      </w:r>
      <w:r>
        <w:rPr>
          <w:rFonts w:hint="eastAsia"/>
          <w:lang w:eastAsia="zh-CN"/>
        </w:rPr>
        <w:t>气</w:t>
      </w:r>
      <w:r>
        <w:rPr>
          <w:rFonts w:hint="eastAsia"/>
        </w:rPr>
        <w:t>检测结果</w:t>
      </w:r>
    </w:p>
    <w:p>
      <w:pPr>
        <w:pStyle w:val="5"/>
        <w:ind w:firstLine="480" w:firstLineChars="200"/>
        <w:rPr>
          <w:rFonts w:hint="eastAsia" w:ascii="宋体" w:hAnsi="宋体"/>
          <w:color w:val="000000"/>
          <w:szCs w:val="21"/>
        </w:rPr>
      </w:pPr>
      <w:r>
        <w:rPr>
          <w:rFonts w:hint="eastAsia"/>
          <w:kern w:val="0"/>
          <w:szCs w:val="21"/>
        </w:rPr>
        <w:t>厂界无组织排放废气中</w:t>
      </w:r>
      <w:r>
        <w:rPr>
          <w:rFonts w:hint="eastAsia"/>
          <w:kern w:val="0"/>
          <w:szCs w:val="21"/>
          <w:lang w:eastAsia="zh-CN"/>
        </w:rPr>
        <w:t>颗粒物</w:t>
      </w:r>
      <w:r>
        <w:rPr>
          <w:rFonts w:hint="eastAsia"/>
          <w:kern w:val="0"/>
          <w:szCs w:val="21"/>
        </w:rPr>
        <w:t>最大浓度排放为</w:t>
      </w:r>
      <w:r>
        <w:rPr>
          <w:rFonts w:hint="eastAsia"/>
          <w:kern w:val="0"/>
          <w:szCs w:val="21"/>
          <w:lang w:val="en-US" w:eastAsia="zh-CN"/>
        </w:rPr>
        <w:t>0.405</w:t>
      </w:r>
      <w:r>
        <w:rPr>
          <w:kern w:val="0"/>
          <w:szCs w:val="21"/>
        </w:rPr>
        <w:t>mg/m</w:t>
      </w:r>
      <w:r>
        <w:rPr>
          <w:kern w:val="0"/>
          <w:szCs w:val="21"/>
          <w:vertAlign w:val="superscript"/>
        </w:rPr>
        <w:t>3</w:t>
      </w:r>
      <w:r>
        <w:rPr>
          <w:rFonts w:hint="eastAsia" w:asciiTheme="minorEastAsia" w:hAnsiTheme="minorEastAsia" w:eastAsiaTheme="minorEastAsia" w:cstheme="minorEastAsia"/>
          <w:color w:val="auto"/>
          <w:sz w:val="24"/>
          <w:lang w:eastAsia="zh-CN"/>
        </w:rPr>
        <w:t>，</w:t>
      </w:r>
      <w:r>
        <w:rPr>
          <w:rFonts w:hint="eastAsia" w:eastAsiaTheme="minorEastAsia"/>
          <w:kern w:val="0"/>
          <w:szCs w:val="21"/>
          <w:lang w:eastAsia="zh-CN"/>
        </w:rPr>
        <w:t>满足</w:t>
      </w:r>
      <w:r>
        <w:rPr>
          <w:rFonts w:hint="eastAsia"/>
          <w:kern w:val="0"/>
          <w:szCs w:val="21"/>
        </w:rPr>
        <w:t>《大气污染物综合排放标准》</w:t>
      </w:r>
      <w:r>
        <w:rPr>
          <w:kern w:val="0"/>
          <w:szCs w:val="21"/>
        </w:rPr>
        <w:t>(GB16297-1996)</w:t>
      </w:r>
      <w:r>
        <w:rPr>
          <w:rFonts w:hint="eastAsia"/>
          <w:kern w:val="0"/>
          <w:szCs w:val="21"/>
        </w:rPr>
        <w:t>表</w:t>
      </w:r>
      <w:r>
        <w:rPr>
          <w:kern w:val="0"/>
          <w:szCs w:val="21"/>
        </w:rPr>
        <w:t>2</w:t>
      </w:r>
      <w:r>
        <w:rPr>
          <w:rFonts w:hint="eastAsia"/>
          <w:kern w:val="0"/>
          <w:szCs w:val="21"/>
        </w:rPr>
        <w:t>中</w:t>
      </w:r>
      <w:r>
        <w:rPr>
          <w:rFonts w:hint="eastAsia"/>
          <w:kern w:val="0"/>
          <w:szCs w:val="21"/>
          <w:lang w:eastAsia="zh-CN"/>
        </w:rPr>
        <w:t>颗粒物</w:t>
      </w:r>
      <w:r>
        <w:rPr>
          <w:rFonts w:hint="eastAsia"/>
          <w:kern w:val="0"/>
          <w:szCs w:val="21"/>
        </w:rPr>
        <w:t>无组织排放监控浓度限制要求。</w:t>
      </w:r>
    </w:p>
    <w:p>
      <w:pPr>
        <w:pStyle w:val="5"/>
        <w:ind w:firstLine="480" w:firstLineChars="200"/>
      </w:pPr>
      <w:r>
        <w:t>7.2.</w:t>
      </w:r>
      <w:r>
        <w:rPr>
          <w:rFonts w:hint="eastAsia"/>
          <w:lang w:val="en-US" w:eastAsia="zh-CN"/>
        </w:rPr>
        <w:t>2</w:t>
      </w:r>
      <w:r>
        <w:t xml:space="preserve"> </w:t>
      </w:r>
      <w:r>
        <w:rPr>
          <w:rFonts w:hint="eastAsia"/>
        </w:rPr>
        <w:t>废水检测结果</w:t>
      </w:r>
      <w:bookmarkEnd w:id="104"/>
      <w:bookmarkEnd w:id="105"/>
    </w:p>
    <w:p>
      <w:pPr>
        <w:pStyle w:val="106"/>
        <w:widowControl/>
        <w:spacing w:line="480" w:lineRule="atLeast"/>
        <w:ind w:firstLine="480"/>
        <w:jc w:val="both"/>
        <w:rPr>
          <w:rFonts w:ascii="宋体"/>
          <w:color w:val="000000"/>
          <w:szCs w:val="21"/>
        </w:rPr>
      </w:pPr>
      <w:r>
        <w:rPr>
          <w:rFonts w:hint="eastAsia" w:ascii="宋体" w:hAnsi="宋体"/>
          <w:szCs w:val="21"/>
        </w:rPr>
        <w:t>经检测：本项目</w:t>
      </w:r>
      <w:r>
        <w:rPr>
          <w:rFonts w:hint="eastAsia" w:ascii="宋体" w:hAnsi="宋体"/>
          <w:szCs w:val="21"/>
          <w:lang w:eastAsia="zh-CN"/>
        </w:rPr>
        <w:t>总排口</w:t>
      </w:r>
      <w:r>
        <w:rPr>
          <w:rFonts w:hint="eastAsia" w:ascii="宋体" w:hAnsi="宋体"/>
          <w:szCs w:val="21"/>
        </w:rPr>
        <w:t>外排废水中</w:t>
      </w:r>
      <w:r>
        <w:rPr>
          <w:rFonts w:ascii="宋体" w:hAnsi="宋体"/>
          <w:szCs w:val="21"/>
        </w:rPr>
        <w:t>SS</w:t>
      </w:r>
      <w:r>
        <w:rPr>
          <w:rFonts w:hint="eastAsia" w:ascii="宋体" w:hAnsi="宋体"/>
          <w:szCs w:val="21"/>
        </w:rPr>
        <w:t>最大日平均浓度为</w:t>
      </w:r>
      <w:r>
        <w:rPr>
          <w:rFonts w:hint="eastAsia" w:ascii="宋体" w:hAnsi="宋体"/>
          <w:szCs w:val="21"/>
          <w:lang w:val="en-US" w:eastAsia="zh-CN"/>
        </w:rPr>
        <w:t>7</w:t>
      </w:r>
      <w:r>
        <w:rPr>
          <w:rFonts w:ascii="宋体" w:hAnsi="宋体"/>
          <w:szCs w:val="21"/>
        </w:rPr>
        <w:t>mg/L</w:t>
      </w:r>
      <w:r>
        <w:rPr>
          <w:rFonts w:hint="eastAsia" w:ascii="宋体" w:hAnsi="宋体"/>
          <w:szCs w:val="21"/>
        </w:rPr>
        <w:t>、</w:t>
      </w:r>
      <w:r>
        <w:rPr>
          <w:rFonts w:ascii="宋体" w:hAnsi="宋体"/>
          <w:szCs w:val="21"/>
        </w:rPr>
        <w:t>COD</w:t>
      </w:r>
      <w:r>
        <w:rPr>
          <w:rFonts w:hint="eastAsia" w:ascii="宋体" w:hAnsi="宋体"/>
          <w:szCs w:val="21"/>
        </w:rPr>
        <w:t>最大日平均浓度为</w:t>
      </w:r>
      <w:r>
        <w:rPr>
          <w:rFonts w:hint="eastAsia" w:ascii="宋体" w:hAnsi="宋体"/>
          <w:szCs w:val="21"/>
          <w:lang w:val="en-US" w:eastAsia="zh-CN"/>
        </w:rPr>
        <w:t>46</w:t>
      </w:r>
      <w:r>
        <w:rPr>
          <w:rFonts w:ascii="宋体" w:hAnsi="宋体"/>
          <w:szCs w:val="21"/>
        </w:rPr>
        <w:t>mg/L</w:t>
      </w:r>
      <w:r>
        <w:rPr>
          <w:rFonts w:hint="eastAsia" w:ascii="宋体" w:hAnsi="宋体"/>
          <w:szCs w:val="21"/>
        </w:rPr>
        <w:t>、氨氮最大日平均浓度为</w:t>
      </w:r>
      <w:r>
        <w:rPr>
          <w:rFonts w:hint="eastAsia" w:ascii="宋体" w:hAnsi="宋体"/>
          <w:szCs w:val="21"/>
          <w:lang w:val="en-US" w:eastAsia="zh-CN"/>
        </w:rPr>
        <w:t>13.8</w:t>
      </w:r>
      <w:r>
        <w:rPr>
          <w:rFonts w:ascii="宋体" w:hAnsi="宋体"/>
          <w:szCs w:val="21"/>
        </w:rPr>
        <w:t>mg/L</w:t>
      </w:r>
      <w:r>
        <w:rPr>
          <w:rFonts w:hint="eastAsia" w:ascii="宋体" w:hAnsi="宋体"/>
          <w:szCs w:val="21"/>
        </w:rPr>
        <w:t>，动植物油最大日平均浓度为</w:t>
      </w:r>
      <w:r>
        <w:rPr>
          <w:rFonts w:hint="eastAsia" w:ascii="宋体" w:hAnsi="宋体"/>
          <w:szCs w:val="21"/>
          <w:lang w:val="en-US" w:eastAsia="zh-CN"/>
        </w:rPr>
        <w:t>4.82</w:t>
      </w:r>
      <w:r>
        <w:rPr>
          <w:rFonts w:ascii="宋体" w:hAnsi="宋体"/>
          <w:szCs w:val="21"/>
        </w:rPr>
        <w:t>mg/L</w:t>
      </w:r>
      <w:r>
        <w:rPr>
          <w:rFonts w:hint="eastAsia" w:ascii="宋体" w:hAnsi="宋体"/>
          <w:szCs w:val="21"/>
        </w:rPr>
        <w:t>，</w:t>
      </w:r>
      <w:r>
        <w:rPr>
          <w:rFonts w:hint="eastAsia" w:ascii="宋体" w:hAnsi="宋体"/>
          <w:szCs w:val="21"/>
          <w:lang w:val="en-US" w:eastAsia="zh-CN"/>
        </w:rPr>
        <w:t>pH为7.83</w:t>
      </w:r>
      <w:r>
        <w:rPr>
          <w:rFonts w:hint="default" w:ascii="Times New Roman" w:hAnsi="Times New Roman" w:cs="Times New Roman"/>
          <w:szCs w:val="21"/>
          <w:lang w:val="en-US" w:eastAsia="zh-CN"/>
        </w:rPr>
        <w:t>~</w:t>
      </w:r>
      <w:r>
        <w:rPr>
          <w:rFonts w:hint="eastAsia" w:ascii="宋体" w:hAnsi="宋体"/>
          <w:szCs w:val="21"/>
          <w:lang w:val="en-US" w:eastAsia="zh-CN"/>
        </w:rPr>
        <w:t>7.88，</w:t>
      </w:r>
      <w:r>
        <w:rPr>
          <w:rFonts w:hint="eastAsia" w:ascii="宋体" w:hAnsi="宋体"/>
          <w:color w:val="000000"/>
          <w:szCs w:val="21"/>
        </w:rPr>
        <w:t>检测结果均达到《钢铁工业水污染物排放标准》(GB13456-2012)表2间接排放限值同时满足唐山市丰南区城南污水处理厂进水水质指标。</w:t>
      </w:r>
    </w:p>
    <w:p>
      <w:pPr>
        <w:pStyle w:val="5"/>
        <w:ind w:firstLine="480" w:firstLineChars="200"/>
      </w:pPr>
      <w:bookmarkStart w:id="106" w:name="_Toc503884784"/>
      <w:bookmarkStart w:id="107" w:name="_Toc497001494"/>
      <w:r>
        <w:t>7.2.</w:t>
      </w:r>
      <w:r>
        <w:rPr>
          <w:rFonts w:hint="eastAsia"/>
          <w:lang w:val="en-US" w:eastAsia="zh-CN"/>
        </w:rPr>
        <w:t>3</w:t>
      </w:r>
      <w:r>
        <w:t xml:space="preserve"> </w:t>
      </w:r>
      <w:r>
        <w:rPr>
          <w:rFonts w:hint="eastAsia"/>
        </w:rPr>
        <w:t>噪声检测结果</w:t>
      </w:r>
      <w:bookmarkEnd w:id="106"/>
      <w:bookmarkEnd w:id="107"/>
    </w:p>
    <w:p>
      <w:pPr>
        <w:widowControl/>
        <w:spacing w:line="480" w:lineRule="atLeast"/>
        <w:ind w:firstLine="480" w:firstLineChars="200"/>
        <w:rPr>
          <w:rFonts w:ascii="宋体"/>
          <w:kern w:val="0"/>
          <w:sz w:val="24"/>
          <w:szCs w:val="21"/>
        </w:rPr>
      </w:pPr>
      <w:r>
        <w:rPr>
          <w:rFonts w:hint="eastAsia" w:ascii="宋体" w:hAnsi="宋体"/>
          <w:kern w:val="0"/>
          <w:sz w:val="24"/>
          <w:szCs w:val="21"/>
        </w:rPr>
        <w:t>经检测，该企业厂界昼间噪声值范围为</w:t>
      </w:r>
      <w:r>
        <w:rPr>
          <w:rFonts w:ascii="宋体" w:hAnsi="宋体"/>
          <w:kern w:val="0"/>
          <w:sz w:val="24"/>
          <w:szCs w:val="21"/>
        </w:rPr>
        <w:t>5</w:t>
      </w:r>
      <w:r>
        <w:rPr>
          <w:rFonts w:hint="eastAsia" w:ascii="宋体" w:hAnsi="宋体"/>
          <w:kern w:val="0"/>
          <w:sz w:val="24"/>
          <w:szCs w:val="21"/>
          <w:lang w:val="en-US" w:eastAsia="zh-CN"/>
        </w:rPr>
        <w:t>8.6</w:t>
      </w:r>
      <w:r>
        <w:rPr>
          <w:rFonts w:hint="eastAsia" w:ascii="宋体" w:hAnsi="宋体"/>
          <w:kern w:val="0"/>
          <w:sz w:val="24"/>
          <w:szCs w:val="21"/>
        </w:rPr>
        <w:t>～</w:t>
      </w:r>
      <w:r>
        <w:rPr>
          <w:rFonts w:ascii="宋体" w:hAnsi="宋体"/>
          <w:kern w:val="0"/>
          <w:sz w:val="24"/>
          <w:szCs w:val="21"/>
        </w:rPr>
        <w:t>5</w:t>
      </w:r>
      <w:r>
        <w:rPr>
          <w:rFonts w:hint="eastAsia" w:ascii="宋体" w:hAnsi="宋体"/>
          <w:kern w:val="0"/>
          <w:sz w:val="24"/>
          <w:szCs w:val="21"/>
          <w:lang w:val="en-US" w:eastAsia="zh-CN"/>
        </w:rPr>
        <w:t>9.5</w:t>
      </w:r>
      <w:r>
        <w:rPr>
          <w:rFonts w:ascii="宋体" w:hAnsi="宋体"/>
          <w:kern w:val="0"/>
          <w:sz w:val="24"/>
          <w:szCs w:val="21"/>
        </w:rPr>
        <w:t>dB(A)</w:t>
      </w:r>
      <w:r>
        <w:rPr>
          <w:rFonts w:hint="eastAsia" w:ascii="宋体" w:hAnsi="宋体"/>
          <w:kern w:val="0"/>
          <w:sz w:val="24"/>
          <w:szCs w:val="21"/>
        </w:rPr>
        <w:t>、夜间噪声值范围为</w:t>
      </w:r>
      <w:r>
        <w:rPr>
          <w:rFonts w:ascii="宋体" w:hAnsi="宋体"/>
          <w:kern w:val="0"/>
          <w:sz w:val="24"/>
          <w:szCs w:val="21"/>
        </w:rPr>
        <w:t>4</w:t>
      </w:r>
      <w:r>
        <w:rPr>
          <w:rFonts w:hint="eastAsia" w:ascii="宋体" w:hAnsi="宋体"/>
          <w:kern w:val="0"/>
          <w:sz w:val="24"/>
          <w:szCs w:val="21"/>
          <w:lang w:val="en-US" w:eastAsia="zh-CN"/>
        </w:rPr>
        <w:t>8.2</w:t>
      </w:r>
      <w:r>
        <w:rPr>
          <w:rFonts w:hint="eastAsia" w:ascii="宋体" w:hAnsi="宋体"/>
          <w:kern w:val="0"/>
          <w:sz w:val="24"/>
          <w:szCs w:val="21"/>
        </w:rPr>
        <w:t>～</w:t>
      </w:r>
      <w:r>
        <w:rPr>
          <w:rFonts w:ascii="宋体" w:hAnsi="宋体"/>
          <w:kern w:val="0"/>
          <w:sz w:val="24"/>
          <w:szCs w:val="21"/>
        </w:rPr>
        <w:t>4</w:t>
      </w:r>
      <w:r>
        <w:rPr>
          <w:rFonts w:hint="eastAsia" w:ascii="宋体" w:hAnsi="宋体"/>
          <w:kern w:val="0"/>
          <w:sz w:val="24"/>
          <w:szCs w:val="21"/>
          <w:lang w:val="en-US" w:eastAsia="zh-CN"/>
        </w:rPr>
        <w:t>9.4</w:t>
      </w:r>
      <w:r>
        <w:rPr>
          <w:rFonts w:ascii="宋体" w:hAnsi="宋体"/>
          <w:kern w:val="0"/>
          <w:sz w:val="24"/>
          <w:szCs w:val="21"/>
        </w:rPr>
        <w:t>dB(A)</w:t>
      </w:r>
      <w:r>
        <w:rPr>
          <w:rFonts w:hint="eastAsia" w:ascii="宋体" w:hAnsi="宋体"/>
          <w:kern w:val="0"/>
          <w:sz w:val="24"/>
          <w:szCs w:val="21"/>
        </w:rPr>
        <w:t>，检测结果达到《工业企业厂界环境噪声排放标准》</w:t>
      </w:r>
      <w:r>
        <w:rPr>
          <w:rFonts w:ascii="宋体" w:hAnsi="宋体"/>
          <w:kern w:val="0"/>
          <w:sz w:val="24"/>
          <w:szCs w:val="21"/>
        </w:rPr>
        <w:t xml:space="preserve">(GB12348-2008) </w:t>
      </w:r>
      <w:r>
        <w:rPr>
          <w:rFonts w:hint="eastAsia" w:ascii="宋体" w:hAnsi="宋体"/>
          <w:kern w:val="0"/>
          <w:sz w:val="24"/>
          <w:szCs w:val="21"/>
        </w:rPr>
        <w:t>中</w:t>
      </w:r>
      <w:r>
        <w:rPr>
          <w:rFonts w:hint="eastAsia" w:ascii="宋体" w:hAnsi="宋体"/>
          <w:kern w:val="0"/>
          <w:sz w:val="24"/>
          <w:szCs w:val="21"/>
          <w:lang w:val="en-US" w:eastAsia="zh-CN"/>
        </w:rPr>
        <w:t>3</w:t>
      </w:r>
      <w:r>
        <w:rPr>
          <w:rFonts w:hint="eastAsia" w:ascii="宋体" w:hAnsi="宋体"/>
          <w:kern w:val="0"/>
          <w:sz w:val="24"/>
          <w:szCs w:val="21"/>
        </w:rPr>
        <w:t>类标准限值要求。</w:t>
      </w:r>
      <w:r>
        <w:rPr>
          <w:rFonts w:ascii="宋体" w:hAnsi="宋体"/>
          <w:kern w:val="0"/>
          <w:sz w:val="24"/>
          <w:szCs w:val="21"/>
        </w:rPr>
        <w:t xml:space="preserve"> </w:t>
      </w:r>
    </w:p>
    <w:p>
      <w:pPr>
        <w:pStyle w:val="4"/>
      </w:pPr>
      <w:bookmarkStart w:id="108" w:name="_Toc503884785"/>
      <w:r>
        <w:t xml:space="preserve">7.3 </w:t>
      </w:r>
      <w:r>
        <w:rPr>
          <w:rFonts w:hint="eastAsia"/>
        </w:rPr>
        <w:t>总量控制要求</w:t>
      </w:r>
      <w:bookmarkEnd w:id="108"/>
    </w:p>
    <w:p>
      <w:pPr>
        <w:widowControl/>
        <w:spacing w:line="480" w:lineRule="atLeast"/>
        <w:ind w:firstLine="480" w:firstLineChars="200"/>
        <w:rPr>
          <w:rFonts w:ascii="宋体"/>
          <w:kern w:val="0"/>
          <w:sz w:val="24"/>
          <w:szCs w:val="21"/>
        </w:rPr>
      </w:pPr>
      <w:r>
        <w:rPr>
          <w:rFonts w:hint="eastAsia" w:ascii="宋体" w:hAnsi="宋体"/>
          <w:sz w:val="24"/>
        </w:rPr>
        <w:t>根据项目生产工艺，生产过程中不存在产生SO</w:t>
      </w:r>
      <w:r>
        <w:rPr>
          <w:rFonts w:hint="eastAsia" w:ascii="宋体" w:hAnsi="宋体"/>
          <w:sz w:val="24"/>
          <w:vertAlign w:val="subscript"/>
        </w:rPr>
        <w:t>2</w:t>
      </w:r>
      <w:r>
        <w:rPr>
          <w:rFonts w:hint="eastAsia" w:ascii="宋体" w:hAnsi="宋体"/>
          <w:sz w:val="24"/>
        </w:rPr>
        <w:t>、NOx等废气重点污染物的生产工序；项目生产废水经处理后全部返回生产系统循环使用，不外排。食堂废水经厂区现有隔油池处理后和生活污水一起进入厂区现有化粪池处理，处理后经开发区污水管网排入丰南区城南污水处理厂处理</w:t>
      </w:r>
      <w:r>
        <w:rPr>
          <w:rFonts w:hint="eastAsia" w:ascii="宋体" w:hAnsi="宋体"/>
          <w:sz w:val="24"/>
          <w:lang w:eastAsia="zh-CN"/>
        </w:rPr>
        <w:t>。</w:t>
      </w:r>
    </w:p>
    <w:p>
      <w:pPr>
        <w:pStyle w:val="3"/>
        <w:spacing w:line="440" w:lineRule="atLeast"/>
      </w:pPr>
      <w:bookmarkStart w:id="109" w:name="_Toc503884786"/>
      <w:r>
        <w:br w:type="page"/>
      </w:r>
      <w:r>
        <w:t xml:space="preserve">8 </w:t>
      </w:r>
      <w:r>
        <w:rPr>
          <w:rFonts w:hint="eastAsia"/>
        </w:rPr>
        <w:t>环境管理检查</w:t>
      </w:r>
      <w:bookmarkEnd w:id="109"/>
    </w:p>
    <w:p>
      <w:pPr>
        <w:pStyle w:val="4"/>
      </w:pPr>
      <w:bookmarkStart w:id="110" w:name="_Toc503884787"/>
      <w:r>
        <w:t xml:space="preserve">8.1 </w:t>
      </w:r>
      <w:r>
        <w:rPr>
          <w:rFonts w:hint="eastAsia"/>
        </w:rPr>
        <w:t>环保管理机构</w:t>
      </w:r>
      <w:bookmarkEnd w:id="110"/>
    </w:p>
    <w:p>
      <w:pPr>
        <w:spacing w:line="480" w:lineRule="atLeast"/>
        <w:ind w:firstLine="480" w:firstLineChars="200"/>
        <w:rPr>
          <w:rFonts w:ascii="宋体"/>
          <w:sz w:val="24"/>
          <w:szCs w:val="24"/>
        </w:rPr>
      </w:pPr>
      <w:r>
        <w:rPr>
          <w:rFonts w:hint="eastAsia" w:ascii="宋体" w:hAnsi="宋体"/>
          <w:sz w:val="24"/>
          <w:szCs w:val="24"/>
        </w:rPr>
        <w:t>唐山正元管业有限公司环境管理由公司安全处负责监督，负责工程环境管理工作，定期进行巡检环境影响情况，及时处理环境问题，并进行有关环境保护法规宣传工作。</w:t>
      </w:r>
    </w:p>
    <w:p>
      <w:pPr>
        <w:pStyle w:val="4"/>
        <w:rPr>
          <w:szCs w:val="22"/>
        </w:rPr>
      </w:pPr>
      <w:bookmarkStart w:id="111" w:name="_Toc503884788"/>
      <w:bookmarkStart w:id="112" w:name="_Toc294178076"/>
      <w:bookmarkStart w:id="113" w:name="_Toc412705194"/>
      <w:r>
        <w:rPr>
          <w:szCs w:val="22"/>
        </w:rPr>
        <w:t xml:space="preserve">8.2 </w:t>
      </w:r>
      <w:r>
        <w:rPr>
          <w:rFonts w:hint="eastAsia"/>
          <w:szCs w:val="22"/>
        </w:rPr>
        <w:t>施工期环境管理</w:t>
      </w:r>
      <w:bookmarkEnd w:id="111"/>
      <w:bookmarkEnd w:id="112"/>
      <w:bookmarkEnd w:id="113"/>
    </w:p>
    <w:p>
      <w:pPr>
        <w:spacing w:line="460" w:lineRule="atLeast"/>
        <w:ind w:firstLine="480" w:firstLineChars="200"/>
        <w:rPr>
          <w:rFonts w:hint="eastAsia" w:ascii="宋体" w:hAnsi="宋体"/>
          <w:sz w:val="24"/>
          <w:szCs w:val="24"/>
        </w:rPr>
      </w:pPr>
      <w:bookmarkStart w:id="114" w:name="_Toc294178077"/>
      <w:bookmarkStart w:id="115" w:name="_Toc412705195"/>
      <w:r>
        <w:rPr>
          <w:rFonts w:hint="eastAsia" w:ascii="宋体" w:hAnsi="宋体"/>
          <w:sz w:val="24"/>
          <w:szCs w:val="24"/>
        </w:rPr>
        <w:t>本工程在施工过程中严格按设计文件施工，特别是按环保设计要求和环评文件提出的措施要求进行施工。切实落实工程环保实施方案，并且做到“三同时”。</w:t>
      </w:r>
    </w:p>
    <w:p>
      <w:pPr>
        <w:pStyle w:val="4"/>
      </w:pPr>
      <w:bookmarkStart w:id="116" w:name="_Toc503884789"/>
      <w:r>
        <w:t xml:space="preserve">8.3 </w:t>
      </w:r>
      <w:r>
        <w:rPr>
          <w:rFonts w:hint="eastAsia"/>
        </w:rPr>
        <w:t>运行期环境管理</w:t>
      </w:r>
      <w:bookmarkEnd w:id="114"/>
      <w:bookmarkEnd w:id="115"/>
      <w:bookmarkEnd w:id="116"/>
    </w:p>
    <w:p>
      <w:pPr>
        <w:spacing w:line="480" w:lineRule="atLeast"/>
        <w:ind w:firstLine="480" w:firstLineChars="200"/>
        <w:rPr>
          <w:rFonts w:ascii="宋体"/>
          <w:sz w:val="24"/>
          <w:szCs w:val="24"/>
        </w:rPr>
      </w:pPr>
      <w:bookmarkStart w:id="117" w:name="_Toc294178078"/>
      <w:r>
        <w:rPr>
          <w:rFonts w:hint="eastAsia" w:ascii="宋体" w:hAnsi="宋体"/>
          <w:sz w:val="24"/>
          <w:szCs w:val="24"/>
        </w:rPr>
        <w:t>唐山正元管业有限公司设立专门的环境管理部门，配备相应专业的管理人员，负责监督国家法规、条例的贯彻执行情况，制订和贯彻环保管理制度，监控本工程的主要污染，对各部门、操作岗位进行环境保护监督和考核。</w:t>
      </w:r>
    </w:p>
    <w:bookmarkEnd w:id="117"/>
    <w:p>
      <w:pPr>
        <w:pStyle w:val="4"/>
        <w:spacing w:line="440" w:lineRule="atLeast"/>
      </w:pPr>
      <w:bookmarkStart w:id="118" w:name="_Toc412705196"/>
      <w:bookmarkStart w:id="119" w:name="_Toc503884790"/>
      <w:bookmarkStart w:id="120" w:name="_Toc414220602"/>
      <w:bookmarkStart w:id="121" w:name="_Toc412705199"/>
      <w:bookmarkStart w:id="122" w:name="_Toc414220604"/>
      <w:r>
        <w:t xml:space="preserve">8.4 </w:t>
      </w:r>
      <w:r>
        <w:rPr>
          <w:rFonts w:hint="eastAsia"/>
        </w:rPr>
        <w:t>社会环境影响情况调查</w:t>
      </w:r>
      <w:bookmarkEnd w:id="118"/>
      <w:bookmarkEnd w:id="119"/>
      <w:bookmarkEnd w:id="120"/>
    </w:p>
    <w:p>
      <w:pPr>
        <w:spacing w:line="440" w:lineRule="atLeast"/>
        <w:ind w:firstLine="120" w:firstLineChars="50"/>
        <w:rPr>
          <w:rFonts w:ascii="宋体"/>
          <w:sz w:val="24"/>
          <w:szCs w:val="24"/>
        </w:rPr>
      </w:pPr>
      <w:r>
        <w:rPr>
          <w:rFonts w:hint="eastAsia" w:ascii="宋体" w:hAnsi="宋体"/>
          <w:sz w:val="24"/>
          <w:szCs w:val="24"/>
        </w:rPr>
        <w:t>经咨询当地环保主管部门，项目建设及试运行期间未发生扰民和公众投诉意见。</w:t>
      </w:r>
    </w:p>
    <w:p>
      <w:pPr>
        <w:pStyle w:val="4"/>
      </w:pPr>
      <w:bookmarkStart w:id="123" w:name="_Toc503884791"/>
      <w:r>
        <w:t xml:space="preserve">8.5 </w:t>
      </w:r>
      <w:r>
        <w:rPr>
          <w:rFonts w:hint="eastAsia"/>
        </w:rPr>
        <w:t>环境管理情况分析</w:t>
      </w:r>
      <w:bookmarkEnd w:id="121"/>
      <w:bookmarkEnd w:id="122"/>
      <w:bookmarkEnd w:id="123"/>
    </w:p>
    <w:p>
      <w:pPr>
        <w:spacing w:line="480" w:lineRule="atLeast"/>
        <w:ind w:firstLine="480" w:firstLineChars="200"/>
        <w:rPr>
          <w:rFonts w:ascii="宋体"/>
          <w:sz w:val="24"/>
          <w:szCs w:val="24"/>
        </w:rPr>
      </w:pPr>
      <w:r>
        <w:rPr>
          <w:rFonts w:hint="eastAsia" w:ascii="宋体" w:hAnsi="宋体"/>
          <w:sz w:val="24"/>
          <w:szCs w:val="24"/>
        </w:rPr>
        <w:t>建设单位和运行单位设置了相应的环境管理机构，并且正常履行了运行期的环境职责，运行初期的检测工作也已经完成，后续检测计划按周期正常进行。</w:t>
      </w:r>
    </w:p>
    <w:p>
      <w:pPr>
        <w:pStyle w:val="3"/>
      </w:pPr>
      <w:bookmarkStart w:id="124" w:name="_Toc503884792"/>
      <w:r>
        <w:br w:type="page"/>
      </w:r>
      <w:r>
        <w:t xml:space="preserve">9 </w:t>
      </w:r>
      <w:r>
        <w:rPr>
          <w:rFonts w:hint="eastAsia"/>
        </w:rPr>
        <w:t>结论和建议</w:t>
      </w:r>
      <w:bookmarkEnd w:id="124"/>
      <w:bookmarkStart w:id="130" w:name="_GoBack"/>
      <w:bookmarkEnd w:id="130"/>
    </w:p>
    <w:p>
      <w:pPr>
        <w:pStyle w:val="4"/>
      </w:pPr>
      <w:bookmarkStart w:id="125" w:name="_Toc503884793"/>
      <w:r>
        <w:t xml:space="preserve">9.1 </w:t>
      </w:r>
      <w:r>
        <w:rPr>
          <w:rFonts w:hint="eastAsia"/>
        </w:rPr>
        <w:t>验收主要结论</w:t>
      </w:r>
      <w:bookmarkEnd w:id="125"/>
    </w:p>
    <w:p>
      <w:pPr>
        <w:widowControl/>
        <w:spacing w:line="480" w:lineRule="atLeast"/>
        <w:ind w:firstLine="480" w:firstLineChars="200"/>
        <w:rPr>
          <w:rFonts w:ascii="宋体"/>
          <w:sz w:val="24"/>
          <w:szCs w:val="24"/>
        </w:rPr>
      </w:pPr>
      <w:r>
        <w:rPr>
          <w:rFonts w:hint="eastAsia" w:ascii="宋体" w:hAnsi="宋体"/>
          <w:sz w:val="24"/>
          <w:szCs w:val="24"/>
        </w:rPr>
        <w:t>检测期间，该企业生产正常，设施运行稳定，生产负荷达到</w:t>
      </w:r>
      <w:r>
        <w:rPr>
          <w:rFonts w:ascii="宋体" w:hAnsi="宋体"/>
          <w:sz w:val="24"/>
          <w:szCs w:val="24"/>
        </w:rPr>
        <w:t>75%</w:t>
      </w:r>
      <w:r>
        <w:rPr>
          <w:rFonts w:hint="eastAsia" w:ascii="宋体" w:hAnsi="宋体"/>
          <w:sz w:val="24"/>
          <w:szCs w:val="24"/>
        </w:rPr>
        <w:t>以上，满足验收检测技术规范要求。</w:t>
      </w:r>
    </w:p>
    <w:p>
      <w:pPr>
        <w:pStyle w:val="106"/>
        <w:widowControl/>
        <w:adjustRightInd/>
        <w:spacing w:line="480" w:lineRule="atLeast"/>
        <w:ind w:left="480" w:firstLine="0" w:firstLineChars="0"/>
        <w:jc w:val="both"/>
        <w:textAlignment w:val="auto"/>
        <w:rPr>
          <w:rFonts w:ascii="宋体"/>
          <w:szCs w:val="24"/>
        </w:rPr>
      </w:pPr>
      <w:bookmarkStart w:id="126" w:name="_Hlk496998889"/>
      <w:r>
        <w:rPr>
          <w:rFonts w:hint="eastAsia" w:ascii="宋体" w:hAnsi="宋体"/>
          <w:szCs w:val="24"/>
        </w:rPr>
        <w:t>（</w:t>
      </w:r>
      <w:r>
        <w:rPr>
          <w:rFonts w:ascii="宋体" w:hAnsi="宋体"/>
          <w:szCs w:val="24"/>
        </w:rPr>
        <w:t>1</w:t>
      </w:r>
      <w:r>
        <w:rPr>
          <w:rFonts w:hint="eastAsia" w:ascii="宋体" w:hAnsi="宋体"/>
          <w:szCs w:val="24"/>
        </w:rPr>
        <w:t>）</w:t>
      </w:r>
      <w:r>
        <w:rPr>
          <w:rFonts w:hint="eastAsia" w:ascii="宋体" w:hAnsi="宋体"/>
          <w:szCs w:val="24"/>
          <w:lang w:eastAsia="zh-CN"/>
        </w:rPr>
        <w:t>废气</w:t>
      </w:r>
    </w:p>
    <w:p>
      <w:pPr>
        <w:pStyle w:val="106"/>
        <w:keepNext w:val="0"/>
        <w:keepLines w:val="0"/>
        <w:pageBreakBefore w:val="0"/>
        <w:widowControl/>
        <w:kinsoku/>
        <w:wordWrap/>
        <w:overflowPunct/>
        <w:topLinePunct w:val="0"/>
        <w:autoSpaceDE/>
        <w:autoSpaceDN/>
        <w:bidi w:val="0"/>
        <w:adjustRightInd/>
        <w:snapToGrid/>
        <w:spacing w:line="480" w:lineRule="atLeast"/>
        <w:ind w:right="0" w:rightChars="0"/>
        <w:jc w:val="both"/>
        <w:textAlignment w:val="auto"/>
        <w:outlineLvl w:val="9"/>
        <w:rPr>
          <w:rFonts w:ascii="宋体" w:hAnsi="宋体"/>
          <w:szCs w:val="21"/>
        </w:rPr>
      </w:pPr>
      <w:r>
        <w:rPr>
          <w:rFonts w:hint="eastAsia" w:ascii="宋体" w:hAnsi="宋体" w:eastAsia="宋体" w:cs="Times New Roman"/>
          <w:kern w:val="2"/>
          <w:sz w:val="24"/>
          <w:szCs w:val="24"/>
          <w:lang w:val="en-US" w:eastAsia="zh-CN" w:bidi="ar-SA"/>
        </w:rPr>
        <w:t>厂界无组织排放废气中颗粒物最大浓度排放为0.405mg/m</w:t>
      </w:r>
      <w:r>
        <w:rPr>
          <w:rFonts w:hint="eastAsia" w:ascii="宋体" w:hAnsi="宋体" w:eastAsia="宋体" w:cs="Times New Roman"/>
          <w:kern w:val="2"/>
          <w:sz w:val="24"/>
          <w:szCs w:val="24"/>
          <w:vertAlign w:val="superscript"/>
          <w:lang w:val="en-US" w:eastAsia="zh-CN" w:bidi="ar-SA"/>
        </w:rPr>
        <w:t>3</w:t>
      </w:r>
      <w:r>
        <w:rPr>
          <w:rFonts w:hint="eastAsia" w:ascii="宋体" w:hAnsi="宋体" w:eastAsia="宋体" w:cs="Times New Roman"/>
          <w:kern w:val="2"/>
          <w:sz w:val="24"/>
          <w:szCs w:val="24"/>
          <w:lang w:val="en-US" w:eastAsia="zh-CN" w:bidi="ar-SA"/>
        </w:rPr>
        <w:t>，满足《大气污染物综合排放标准》(GB16297-1996)表2中颗粒物无组织排放监控浓度限制要求。</w:t>
      </w:r>
    </w:p>
    <w:p>
      <w:pPr>
        <w:pStyle w:val="106"/>
        <w:widowControl/>
        <w:adjustRightInd/>
        <w:spacing w:line="480" w:lineRule="atLeast"/>
        <w:ind w:left="480" w:firstLine="0" w:firstLineChars="0"/>
        <w:jc w:val="both"/>
        <w:textAlignment w:val="auto"/>
        <w:rPr>
          <w:rFonts w:ascii="宋体"/>
          <w:szCs w:val="24"/>
        </w:rPr>
      </w:pPr>
      <w:r>
        <w:rPr>
          <w:rFonts w:hint="eastAsia" w:ascii="宋体" w:hAnsi="宋体"/>
          <w:szCs w:val="24"/>
        </w:rPr>
        <w:t>（</w:t>
      </w:r>
      <w:r>
        <w:rPr>
          <w:rFonts w:hint="eastAsia" w:ascii="宋体" w:hAnsi="宋体"/>
          <w:szCs w:val="24"/>
          <w:lang w:val="en-US" w:eastAsia="zh-CN"/>
        </w:rPr>
        <w:t>2</w:t>
      </w:r>
      <w:r>
        <w:rPr>
          <w:rFonts w:hint="eastAsia" w:ascii="宋体" w:hAnsi="宋体"/>
          <w:szCs w:val="24"/>
        </w:rPr>
        <w:t>）废水</w:t>
      </w:r>
    </w:p>
    <w:bookmarkEnd w:id="126"/>
    <w:p>
      <w:pPr>
        <w:pStyle w:val="106"/>
        <w:widowControl/>
        <w:spacing w:line="480" w:lineRule="atLeast"/>
        <w:ind w:firstLine="480"/>
        <w:jc w:val="both"/>
        <w:rPr>
          <w:rFonts w:ascii="宋体"/>
          <w:color w:val="000000"/>
          <w:szCs w:val="21"/>
        </w:rPr>
      </w:pPr>
      <w:r>
        <w:rPr>
          <w:rFonts w:hint="eastAsia" w:ascii="宋体" w:hAnsi="宋体"/>
          <w:szCs w:val="21"/>
        </w:rPr>
        <w:t>经检测：本项目</w:t>
      </w:r>
      <w:r>
        <w:rPr>
          <w:rFonts w:hint="eastAsia" w:ascii="宋体" w:hAnsi="宋体"/>
          <w:szCs w:val="21"/>
          <w:lang w:eastAsia="zh-CN"/>
        </w:rPr>
        <w:t>总排口</w:t>
      </w:r>
      <w:r>
        <w:rPr>
          <w:rFonts w:hint="eastAsia" w:ascii="宋体" w:hAnsi="宋体"/>
          <w:szCs w:val="21"/>
        </w:rPr>
        <w:t>外排废水中</w:t>
      </w:r>
      <w:r>
        <w:rPr>
          <w:rFonts w:ascii="宋体" w:hAnsi="宋体"/>
          <w:szCs w:val="21"/>
        </w:rPr>
        <w:t>SS</w:t>
      </w:r>
      <w:r>
        <w:rPr>
          <w:rFonts w:hint="eastAsia" w:ascii="宋体" w:hAnsi="宋体"/>
          <w:szCs w:val="21"/>
        </w:rPr>
        <w:t>最大日平均浓度为</w:t>
      </w:r>
      <w:r>
        <w:rPr>
          <w:rFonts w:hint="eastAsia" w:ascii="宋体" w:hAnsi="宋体"/>
          <w:szCs w:val="21"/>
          <w:lang w:val="en-US" w:eastAsia="zh-CN"/>
        </w:rPr>
        <w:t>7</w:t>
      </w:r>
      <w:r>
        <w:rPr>
          <w:rFonts w:ascii="宋体" w:hAnsi="宋体"/>
          <w:szCs w:val="21"/>
        </w:rPr>
        <w:t>mg/L</w:t>
      </w:r>
      <w:r>
        <w:rPr>
          <w:rFonts w:hint="eastAsia" w:ascii="宋体" w:hAnsi="宋体"/>
          <w:szCs w:val="21"/>
        </w:rPr>
        <w:t>、</w:t>
      </w:r>
      <w:r>
        <w:rPr>
          <w:rFonts w:ascii="宋体" w:hAnsi="宋体"/>
          <w:szCs w:val="21"/>
        </w:rPr>
        <w:t>COD</w:t>
      </w:r>
      <w:r>
        <w:rPr>
          <w:rFonts w:hint="eastAsia" w:ascii="宋体" w:hAnsi="宋体"/>
          <w:szCs w:val="21"/>
        </w:rPr>
        <w:t>最大日平均浓度为</w:t>
      </w:r>
      <w:r>
        <w:rPr>
          <w:rFonts w:hint="eastAsia" w:ascii="宋体" w:hAnsi="宋体"/>
          <w:szCs w:val="21"/>
          <w:lang w:val="en-US" w:eastAsia="zh-CN"/>
        </w:rPr>
        <w:t>46</w:t>
      </w:r>
      <w:r>
        <w:rPr>
          <w:rFonts w:ascii="宋体" w:hAnsi="宋体"/>
          <w:szCs w:val="21"/>
        </w:rPr>
        <w:t>mg/L</w:t>
      </w:r>
      <w:r>
        <w:rPr>
          <w:rFonts w:hint="eastAsia" w:ascii="宋体" w:hAnsi="宋体"/>
          <w:szCs w:val="21"/>
        </w:rPr>
        <w:t>、氨氮最大日平均浓度为</w:t>
      </w:r>
      <w:r>
        <w:rPr>
          <w:rFonts w:hint="eastAsia" w:ascii="宋体" w:hAnsi="宋体"/>
          <w:szCs w:val="21"/>
          <w:lang w:val="en-US" w:eastAsia="zh-CN"/>
        </w:rPr>
        <w:t>13.8</w:t>
      </w:r>
      <w:r>
        <w:rPr>
          <w:rFonts w:ascii="宋体" w:hAnsi="宋体"/>
          <w:szCs w:val="21"/>
        </w:rPr>
        <w:t>mg/L</w:t>
      </w:r>
      <w:r>
        <w:rPr>
          <w:rFonts w:hint="eastAsia" w:ascii="宋体" w:hAnsi="宋体"/>
          <w:szCs w:val="21"/>
        </w:rPr>
        <w:t>，动植物油最大日平均浓度为</w:t>
      </w:r>
      <w:r>
        <w:rPr>
          <w:rFonts w:hint="eastAsia" w:ascii="宋体" w:hAnsi="宋体"/>
          <w:szCs w:val="21"/>
          <w:lang w:val="en-US" w:eastAsia="zh-CN"/>
        </w:rPr>
        <w:t>4.82</w:t>
      </w:r>
      <w:r>
        <w:rPr>
          <w:rFonts w:ascii="宋体" w:hAnsi="宋体"/>
          <w:szCs w:val="21"/>
        </w:rPr>
        <w:t>mg/L</w:t>
      </w:r>
      <w:r>
        <w:rPr>
          <w:rFonts w:hint="eastAsia" w:ascii="宋体" w:hAnsi="宋体"/>
          <w:szCs w:val="21"/>
        </w:rPr>
        <w:t>，</w:t>
      </w:r>
      <w:r>
        <w:rPr>
          <w:rFonts w:hint="eastAsia" w:ascii="宋体" w:hAnsi="宋体"/>
          <w:szCs w:val="21"/>
          <w:lang w:val="en-US" w:eastAsia="zh-CN"/>
        </w:rPr>
        <w:t>pH为7.83</w:t>
      </w:r>
      <w:r>
        <w:rPr>
          <w:rFonts w:hint="default" w:ascii="Times New Roman" w:hAnsi="Times New Roman" w:cs="Times New Roman"/>
          <w:szCs w:val="21"/>
          <w:lang w:val="en-US" w:eastAsia="zh-CN"/>
        </w:rPr>
        <w:t>~</w:t>
      </w:r>
      <w:r>
        <w:rPr>
          <w:rFonts w:hint="eastAsia" w:ascii="宋体" w:hAnsi="宋体"/>
          <w:szCs w:val="21"/>
          <w:lang w:val="en-US" w:eastAsia="zh-CN"/>
        </w:rPr>
        <w:t>7.88，</w:t>
      </w:r>
      <w:r>
        <w:rPr>
          <w:rFonts w:hint="eastAsia" w:ascii="宋体" w:hAnsi="宋体"/>
          <w:color w:val="000000"/>
          <w:szCs w:val="21"/>
        </w:rPr>
        <w:t>检测结果均达到《钢铁工业水污染物排放标准》(GB13456-2012)表2间接排放限值同时满足唐山市丰南区城南污水处理厂进水水质指标。</w:t>
      </w:r>
    </w:p>
    <w:p>
      <w:pPr>
        <w:pStyle w:val="106"/>
        <w:widowControl/>
        <w:adjustRightInd/>
        <w:spacing w:line="480" w:lineRule="atLeast"/>
        <w:ind w:left="480" w:firstLine="0" w:firstLineChars="0"/>
        <w:jc w:val="both"/>
        <w:textAlignment w:val="auto"/>
        <w:rPr>
          <w:rFonts w:ascii="宋体"/>
          <w:szCs w:val="24"/>
        </w:rPr>
      </w:pPr>
      <w:r>
        <w:rPr>
          <w:rFonts w:hint="eastAsia" w:ascii="宋体" w:hAnsi="宋体"/>
          <w:szCs w:val="24"/>
        </w:rPr>
        <w:t>（</w:t>
      </w:r>
      <w:r>
        <w:rPr>
          <w:rFonts w:hint="eastAsia" w:ascii="宋体" w:hAnsi="宋体"/>
          <w:szCs w:val="24"/>
          <w:lang w:val="en-US" w:eastAsia="zh-CN"/>
        </w:rPr>
        <w:t>3</w:t>
      </w:r>
      <w:r>
        <w:rPr>
          <w:rFonts w:hint="eastAsia" w:ascii="宋体" w:hAnsi="宋体"/>
          <w:szCs w:val="24"/>
        </w:rPr>
        <w:t>）噪声</w:t>
      </w:r>
    </w:p>
    <w:p>
      <w:pPr>
        <w:widowControl/>
        <w:spacing w:line="480" w:lineRule="atLeast"/>
        <w:ind w:firstLine="480" w:firstLineChars="200"/>
        <w:rPr>
          <w:rFonts w:ascii="宋体"/>
          <w:sz w:val="24"/>
          <w:szCs w:val="24"/>
        </w:rPr>
      </w:pPr>
      <w:bookmarkStart w:id="127" w:name="_Hlk496998963"/>
      <w:r>
        <w:rPr>
          <w:rFonts w:hint="eastAsia" w:ascii="宋体" w:hAnsi="宋体"/>
          <w:kern w:val="0"/>
          <w:sz w:val="24"/>
          <w:szCs w:val="21"/>
        </w:rPr>
        <w:t>经检测，该企业厂界昼间噪声值范围为</w:t>
      </w:r>
      <w:r>
        <w:rPr>
          <w:rFonts w:ascii="宋体" w:hAnsi="宋体"/>
          <w:kern w:val="0"/>
          <w:sz w:val="24"/>
          <w:szCs w:val="21"/>
        </w:rPr>
        <w:t>5</w:t>
      </w:r>
      <w:r>
        <w:rPr>
          <w:rFonts w:hint="eastAsia" w:ascii="宋体" w:hAnsi="宋体"/>
          <w:kern w:val="0"/>
          <w:sz w:val="24"/>
          <w:szCs w:val="21"/>
          <w:lang w:val="en-US" w:eastAsia="zh-CN"/>
        </w:rPr>
        <w:t>8.6</w:t>
      </w:r>
      <w:r>
        <w:rPr>
          <w:rFonts w:hint="eastAsia" w:ascii="宋体" w:hAnsi="宋体"/>
          <w:kern w:val="0"/>
          <w:sz w:val="24"/>
          <w:szCs w:val="21"/>
        </w:rPr>
        <w:t>～</w:t>
      </w:r>
      <w:r>
        <w:rPr>
          <w:rFonts w:ascii="宋体" w:hAnsi="宋体"/>
          <w:kern w:val="0"/>
          <w:sz w:val="24"/>
          <w:szCs w:val="21"/>
        </w:rPr>
        <w:t>5</w:t>
      </w:r>
      <w:r>
        <w:rPr>
          <w:rFonts w:hint="eastAsia" w:ascii="宋体" w:hAnsi="宋体"/>
          <w:kern w:val="0"/>
          <w:sz w:val="24"/>
          <w:szCs w:val="21"/>
          <w:lang w:val="en-US" w:eastAsia="zh-CN"/>
        </w:rPr>
        <w:t>9.5</w:t>
      </w:r>
      <w:r>
        <w:rPr>
          <w:rFonts w:ascii="宋体" w:hAnsi="宋体"/>
          <w:kern w:val="0"/>
          <w:sz w:val="24"/>
          <w:szCs w:val="21"/>
        </w:rPr>
        <w:t>dB(A)</w:t>
      </w:r>
      <w:r>
        <w:rPr>
          <w:rFonts w:hint="eastAsia" w:ascii="宋体" w:hAnsi="宋体"/>
          <w:kern w:val="0"/>
          <w:sz w:val="24"/>
          <w:szCs w:val="21"/>
        </w:rPr>
        <w:t>、夜间噪声值范围为</w:t>
      </w:r>
      <w:r>
        <w:rPr>
          <w:rFonts w:ascii="宋体" w:hAnsi="宋体"/>
          <w:kern w:val="0"/>
          <w:sz w:val="24"/>
          <w:szCs w:val="21"/>
        </w:rPr>
        <w:t>4</w:t>
      </w:r>
      <w:r>
        <w:rPr>
          <w:rFonts w:hint="eastAsia" w:ascii="宋体" w:hAnsi="宋体"/>
          <w:kern w:val="0"/>
          <w:sz w:val="24"/>
          <w:szCs w:val="21"/>
          <w:lang w:val="en-US" w:eastAsia="zh-CN"/>
        </w:rPr>
        <w:t>8.2</w:t>
      </w:r>
      <w:r>
        <w:rPr>
          <w:rFonts w:hint="eastAsia" w:ascii="宋体" w:hAnsi="宋体"/>
          <w:kern w:val="0"/>
          <w:sz w:val="24"/>
          <w:szCs w:val="21"/>
        </w:rPr>
        <w:t>～</w:t>
      </w:r>
      <w:r>
        <w:rPr>
          <w:rFonts w:ascii="宋体" w:hAnsi="宋体"/>
          <w:kern w:val="0"/>
          <w:sz w:val="24"/>
          <w:szCs w:val="21"/>
        </w:rPr>
        <w:t>4</w:t>
      </w:r>
      <w:r>
        <w:rPr>
          <w:rFonts w:hint="eastAsia" w:ascii="宋体" w:hAnsi="宋体"/>
          <w:kern w:val="0"/>
          <w:sz w:val="24"/>
          <w:szCs w:val="21"/>
          <w:lang w:val="en-US" w:eastAsia="zh-CN"/>
        </w:rPr>
        <w:t>9.4</w:t>
      </w:r>
      <w:r>
        <w:rPr>
          <w:rFonts w:ascii="宋体" w:hAnsi="宋体"/>
          <w:kern w:val="0"/>
          <w:sz w:val="24"/>
          <w:szCs w:val="21"/>
        </w:rPr>
        <w:t>dB(A)</w:t>
      </w:r>
      <w:r>
        <w:rPr>
          <w:rFonts w:hint="eastAsia" w:ascii="宋体" w:hAnsi="宋体"/>
          <w:kern w:val="0"/>
          <w:sz w:val="24"/>
          <w:szCs w:val="21"/>
        </w:rPr>
        <w:t>，检测结果达到《工业企业厂界环境噪声排放标准》</w:t>
      </w:r>
      <w:r>
        <w:rPr>
          <w:rFonts w:ascii="宋体" w:hAnsi="宋体"/>
          <w:kern w:val="0"/>
          <w:sz w:val="24"/>
          <w:szCs w:val="21"/>
        </w:rPr>
        <w:t xml:space="preserve">(GB12348-2008) </w:t>
      </w:r>
      <w:r>
        <w:rPr>
          <w:rFonts w:hint="eastAsia" w:ascii="宋体" w:hAnsi="宋体"/>
          <w:kern w:val="0"/>
          <w:sz w:val="24"/>
          <w:szCs w:val="21"/>
        </w:rPr>
        <w:t>中</w:t>
      </w:r>
      <w:r>
        <w:rPr>
          <w:rFonts w:hint="eastAsia" w:ascii="宋体" w:hAnsi="宋体"/>
          <w:kern w:val="0"/>
          <w:sz w:val="24"/>
          <w:szCs w:val="21"/>
          <w:lang w:val="en-US" w:eastAsia="zh-CN"/>
        </w:rPr>
        <w:t>3</w:t>
      </w:r>
      <w:r>
        <w:rPr>
          <w:rFonts w:hint="eastAsia" w:ascii="宋体" w:hAnsi="宋体"/>
          <w:kern w:val="0"/>
          <w:sz w:val="24"/>
          <w:szCs w:val="21"/>
        </w:rPr>
        <w:t>类标准限值要求。</w:t>
      </w:r>
      <w:r>
        <w:rPr>
          <w:rFonts w:ascii="宋体" w:hAnsi="宋体"/>
          <w:sz w:val="24"/>
          <w:szCs w:val="24"/>
        </w:rPr>
        <w:t xml:space="preserve"> </w:t>
      </w:r>
      <w:bookmarkEnd w:id="127"/>
    </w:p>
    <w:p>
      <w:pPr>
        <w:pStyle w:val="106"/>
        <w:widowControl/>
        <w:adjustRightInd/>
        <w:spacing w:line="480" w:lineRule="atLeast"/>
        <w:ind w:left="480" w:firstLine="0" w:firstLineChars="0"/>
        <w:jc w:val="both"/>
        <w:textAlignment w:val="auto"/>
        <w:rPr>
          <w:rFonts w:ascii="宋体"/>
          <w:szCs w:val="24"/>
        </w:rPr>
      </w:pPr>
      <w:r>
        <w:rPr>
          <w:rFonts w:hint="eastAsia" w:ascii="宋体" w:hAnsi="宋体"/>
          <w:szCs w:val="24"/>
        </w:rPr>
        <w:t>（</w:t>
      </w:r>
      <w:r>
        <w:rPr>
          <w:rFonts w:hint="eastAsia" w:ascii="宋体" w:hAnsi="宋体"/>
          <w:szCs w:val="24"/>
          <w:lang w:val="en-US" w:eastAsia="zh-CN"/>
        </w:rPr>
        <w:t>4</w:t>
      </w:r>
      <w:r>
        <w:rPr>
          <w:rFonts w:hint="eastAsia" w:ascii="宋体" w:hAnsi="宋体"/>
          <w:szCs w:val="24"/>
        </w:rPr>
        <w:t>）固体废弃物</w:t>
      </w:r>
    </w:p>
    <w:p>
      <w:pPr>
        <w:pStyle w:val="87"/>
        <w:spacing w:line="480" w:lineRule="atLeast"/>
        <w:ind w:firstLine="480" w:firstLineChars="200"/>
        <w:jc w:val="both"/>
        <w:rPr>
          <w:color w:val="auto"/>
        </w:rPr>
      </w:pPr>
      <w:r>
        <w:rPr>
          <w:rFonts w:hint="eastAsia"/>
          <w:color w:val="auto"/>
        </w:rPr>
        <w:t>本项目固体废物主要为</w:t>
      </w:r>
      <w:r>
        <w:rPr>
          <w:rFonts w:hint="eastAsia" w:hAnsi="宋体"/>
        </w:rPr>
        <w:t>金属废料、焊渣、毛刺废渣、氧化铁皮、毛刺</w:t>
      </w:r>
      <w:r>
        <w:rPr>
          <w:rFonts w:hint="eastAsia" w:hAnsi="宋体"/>
          <w:lang w:eastAsia="zh-CN"/>
        </w:rPr>
        <w:t>、废油及生活垃圾。</w:t>
      </w:r>
      <w:r>
        <w:rPr>
          <w:rFonts w:hint="eastAsia" w:hAnsi="宋体"/>
        </w:rPr>
        <w:t>金属废料、焊渣、毛刺废渣、氧化铁皮、毛刺全部外售钢铁企业用作生产原料</w:t>
      </w:r>
      <w:r>
        <w:rPr>
          <w:rFonts w:hint="eastAsia" w:hAnsi="宋体"/>
          <w:lang w:eastAsia="zh-CN"/>
        </w:rPr>
        <w:t>；</w:t>
      </w:r>
      <w:r>
        <w:rPr>
          <w:rFonts w:hint="eastAsia" w:hAnsi="宋体"/>
        </w:rPr>
        <w:t>焊条头和生活垃圾由环卫部门收集后送指定地点填埋</w:t>
      </w:r>
      <w:r>
        <w:rPr>
          <w:rFonts w:hint="eastAsia" w:hAnsi="宋体"/>
          <w:lang w:eastAsia="zh-CN"/>
        </w:rPr>
        <w:t>；</w:t>
      </w:r>
      <w:r>
        <w:rPr>
          <w:rFonts w:hint="eastAsia" w:hAnsi="宋体"/>
        </w:rPr>
        <w:t>废油经桶装收集后暂存于现有废油暂存间，定期送唐山优艺胜星再生资源有限公司处置。</w:t>
      </w:r>
    </w:p>
    <w:p>
      <w:pPr>
        <w:pStyle w:val="106"/>
        <w:widowControl/>
        <w:adjustRightInd/>
        <w:spacing w:line="480" w:lineRule="atLeast"/>
        <w:ind w:left="480" w:firstLine="0" w:firstLineChars="0"/>
        <w:jc w:val="both"/>
        <w:textAlignment w:val="auto"/>
        <w:rPr>
          <w:rFonts w:ascii="宋体"/>
          <w:szCs w:val="24"/>
        </w:rPr>
      </w:pPr>
      <w:r>
        <w:rPr>
          <w:rFonts w:hint="eastAsia" w:ascii="宋体" w:hAnsi="宋体"/>
          <w:szCs w:val="24"/>
        </w:rPr>
        <w:t>（</w:t>
      </w:r>
      <w:r>
        <w:rPr>
          <w:rFonts w:hint="eastAsia" w:ascii="宋体" w:hAnsi="宋体"/>
          <w:szCs w:val="24"/>
          <w:lang w:val="en-US" w:eastAsia="zh-CN"/>
        </w:rPr>
        <w:t>5</w:t>
      </w:r>
      <w:r>
        <w:rPr>
          <w:rFonts w:hint="eastAsia" w:ascii="宋体" w:hAnsi="宋体"/>
          <w:szCs w:val="24"/>
        </w:rPr>
        <w:t>）总量控制要求</w:t>
      </w:r>
    </w:p>
    <w:p>
      <w:pPr>
        <w:widowControl/>
        <w:spacing w:line="480" w:lineRule="atLeast"/>
        <w:ind w:firstLine="480" w:firstLineChars="200"/>
        <w:rPr>
          <w:rFonts w:ascii="宋体"/>
          <w:sz w:val="24"/>
          <w:szCs w:val="24"/>
        </w:rPr>
      </w:pPr>
      <w:bookmarkStart w:id="128" w:name="_Hlk496999304"/>
      <w:r>
        <w:rPr>
          <w:rFonts w:hint="eastAsia" w:ascii="宋体" w:hAnsi="宋体"/>
          <w:sz w:val="24"/>
        </w:rPr>
        <w:t>根据项目生产工艺，生产过程中不存在产生SO</w:t>
      </w:r>
      <w:r>
        <w:rPr>
          <w:rFonts w:hint="eastAsia" w:ascii="宋体" w:hAnsi="宋体"/>
          <w:sz w:val="24"/>
          <w:vertAlign w:val="subscript"/>
        </w:rPr>
        <w:t>2</w:t>
      </w:r>
      <w:r>
        <w:rPr>
          <w:rFonts w:hint="eastAsia" w:ascii="宋体" w:hAnsi="宋体"/>
          <w:sz w:val="24"/>
        </w:rPr>
        <w:t>、NOx等废气重点污染物的生产工序；项目生产废水经处理后全部返回生产系统循环使用，不外排。食堂废水经厂区现有隔油池处理后和生活污水一起进入厂区现有化粪池处理，处理后经开发区污水管网排入丰南区城南污水处理厂处理</w:t>
      </w:r>
      <w:r>
        <w:rPr>
          <w:rFonts w:hint="eastAsia" w:ascii="宋体" w:hAnsi="宋体"/>
          <w:kern w:val="0"/>
          <w:sz w:val="24"/>
          <w:szCs w:val="21"/>
        </w:rPr>
        <w:t>。</w:t>
      </w:r>
    </w:p>
    <w:p>
      <w:pPr>
        <w:widowControl/>
        <w:spacing w:line="480" w:lineRule="atLeast"/>
        <w:ind w:firstLine="480" w:firstLineChars="200"/>
        <w:rPr>
          <w:rFonts w:ascii="宋体"/>
          <w:sz w:val="24"/>
          <w:szCs w:val="24"/>
        </w:rPr>
      </w:pPr>
      <w:r>
        <w:rPr>
          <w:rFonts w:hint="eastAsia" w:ascii="宋体" w:hAnsi="宋体"/>
          <w:sz w:val="24"/>
          <w:szCs w:val="24"/>
        </w:rPr>
        <w:br w:type="page"/>
      </w:r>
      <w:r>
        <w:rPr>
          <w:rFonts w:hint="eastAsia" w:ascii="宋体" w:hAnsi="宋体"/>
          <w:sz w:val="24"/>
          <w:szCs w:val="24"/>
        </w:rPr>
        <w:t>（</w:t>
      </w:r>
      <w:r>
        <w:rPr>
          <w:rFonts w:hint="eastAsia" w:ascii="宋体" w:hAnsi="宋体"/>
          <w:sz w:val="24"/>
          <w:szCs w:val="24"/>
          <w:lang w:val="en-US" w:eastAsia="zh-CN"/>
        </w:rPr>
        <w:t>6</w:t>
      </w:r>
      <w:r>
        <w:rPr>
          <w:rFonts w:hint="eastAsia" w:ascii="宋体" w:hAnsi="宋体"/>
          <w:sz w:val="24"/>
          <w:szCs w:val="24"/>
        </w:rPr>
        <w:t>）结论</w:t>
      </w:r>
    </w:p>
    <w:p>
      <w:pPr>
        <w:widowControl/>
        <w:spacing w:line="480" w:lineRule="atLeast"/>
        <w:ind w:firstLine="480" w:firstLineChars="200"/>
        <w:rPr>
          <w:rFonts w:ascii="宋体"/>
          <w:sz w:val="24"/>
          <w:szCs w:val="24"/>
        </w:rPr>
      </w:pPr>
      <w:r>
        <w:rPr>
          <w:rFonts w:hint="eastAsia" w:ascii="宋体" w:hAnsi="宋体"/>
          <w:sz w:val="24"/>
          <w:szCs w:val="24"/>
        </w:rPr>
        <w:t>综上分析，项目已按环评及批复要求进行了环境保护设施建设，根据监测结果可满足相关环境排放标准要求。</w:t>
      </w:r>
    </w:p>
    <w:bookmarkEnd w:id="128"/>
    <w:p>
      <w:pPr>
        <w:pStyle w:val="4"/>
        <w:keepNext w:val="0"/>
        <w:keepLines w:val="0"/>
        <w:pageBreakBefore w:val="0"/>
        <w:widowControl w:val="0"/>
        <w:kinsoku/>
        <w:wordWrap/>
        <w:overflowPunct/>
        <w:topLinePunct w:val="0"/>
        <w:autoSpaceDE/>
        <w:autoSpaceDN/>
        <w:bidi w:val="0"/>
        <w:adjustRightInd/>
        <w:snapToGrid/>
        <w:spacing w:before="157" w:beforeLines="50" w:line="480" w:lineRule="atLeast"/>
        <w:ind w:left="0" w:leftChars="0" w:right="0" w:rightChars="0" w:firstLine="0" w:firstLineChars="0"/>
        <w:jc w:val="both"/>
        <w:textAlignment w:val="auto"/>
        <w:outlineLvl w:val="1"/>
      </w:pPr>
      <w:bookmarkStart w:id="129" w:name="_Toc503884794"/>
      <w:r>
        <w:t xml:space="preserve">9.2 </w:t>
      </w:r>
      <w:r>
        <w:rPr>
          <w:rFonts w:hint="eastAsia"/>
        </w:rPr>
        <w:t>建议</w:t>
      </w:r>
      <w:bookmarkEnd w:id="129"/>
    </w:p>
    <w:p>
      <w:pPr>
        <w:widowControl/>
        <w:spacing w:line="48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）加强各项环保设施运行维护，确保设施稳定运行。</w:t>
      </w:r>
    </w:p>
    <w:p>
      <w:pPr>
        <w:widowControl/>
        <w:spacing w:line="480" w:lineRule="atLeast"/>
        <w:ind w:firstLine="480" w:firstLineChars="200"/>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）加强污水处理设施的运行管理，确保外排废水达标排放。</w:t>
      </w:r>
    </w:p>
    <w:p>
      <w:pPr>
        <w:keepNext w:val="0"/>
        <w:keepLines w:val="0"/>
        <w:pageBreakBefore w:val="0"/>
        <w:widowControl/>
        <w:kinsoku/>
        <w:wordWrap/>
        <w:overflowPunct/>
        <w:topLinePunct w:val="0"/>
        <w:autoSpaceDE/>
        <w:autoSpaceDN/>
        <w:bidi w:val="0"/>
        <w:adjustRightInd/>
        <w:snapToGrid/>
        <w:spacing w:before="313" w:beforeLines="100" w:line="240" w:lineRule="auto"/>
        <w:ind w:left="0" w:leftChars="0" w:right="0" w:rightChars="0" w:firstLine="0" w:firstLineChars="0"/>
        <w:jc w:val="center"/>
        <w:textAlignment w:val="auto"/>
        <w:outlineLvl w:val="9"/>
        <w:rPr>
          <w:rFonts w:ascii="宋体"/>
          <w:b/>
          <w:bCs/>
          <w:sz w:val="24"/>
          <w:szCs w:val="24"/>
        </w:rPr>
      </w:pPr>
      <w:r>
        <w:rPr>
          <w:rFonts w:ascii="宋体"/>
          <w:sz w:val="24"/>
          <w:szCs w:val="24"/>
        </w:rPr>
        <w:br w:type="page"/>
      </w:r>
      <w:r>
        <w:rPr>
          <w:rFonts w:hint="eastAsia" w:ascii="宋体"/>
          <w:b/>
          <w:bCs/>
          <w:sz w:val="24"/>
          <w:szCs w:val="24"/>
          <w:lang w:eastAsia="zh-CN"/>
        </w:rPr>
        <w:t>附图</w:t>
      </w:r>
      <w:r>
        <w:rPr>
          <w:rFonts w:hint="eastAsia" w:ascii="宋体"/>
          <w:b/>
          <w:bCs/>
          <w:sz w:val="24"/>
          <w:szCs w:val="24"/>
          <w:lang w:val="en-US" w:eastAsia="zh-CN"/>
        </w:rPr>
        <w:t>1  项目地理位置图</w:t>
      </w:r>
    </w:p>
    <w:p>
      <w:pPr>
        <w:keepNext w:val="0"/>
        <w:keepLines w:val="0"/>
        <w:pageBreakBefore w:val="0"/>
        <w:widowControl/>
        <w:kinsoku/>
        <w:wordWrap/>
        <w:overflowPunct/>
        <w:topLinePunct w:val="0"/>
        <w:autoSpaceDE/>
        <w:autoSpaceDN/>
        <w:bidi w:val="0"/>
        <w:adjustRightInd/>
        <w:snapToGrid/>
        <w:spacing w:before="313" w:beforeLines="100" w:line="240" w:lineRule="auto"/>
        <w:ind w:left="0" w:leftChars="0" w:right="0" w:rightChars="0" w:firstLine="0" w:firstLineChars="0"/>
        <w:jc w:val="left"/>
        <w:textAlignment w:val="auto"/>
        <w:outlineLvl w:val="9"/>
        <w:rPr>
          <w:rFonts w:ascii="宋体"/>
          <w:sz w:val="24"/>
          <w:szCs w:val="24"/>
        </w:rPr>
      </w:pPr>
      <w:r>
        <w:pict>
          <v:shape id="_x0000_i1032" o:spt="75" type="#_x0000_t75" style="height:622.5pt;width:408.7pt;" filled="f" o:preferrelative="t" stroked="f" coordsize="21600,21600">
            <v:path/>
            <v:fill on="f" focussize="0,0"/>
            <v:stroke on="f"/>
            <v:imagedata r:id="rId17" o:title=""/>
            <o:lock v:ext="edit" aspectratio="t"/>
            <w10:wrap type="none"/>
            <w10:anchorlock/>
          </v:shape>
        </w:pict>
      </w:r>
    </w:p>
    <w:p>
      <w:pPr>
        <w:widowControl/>
        <w:jc w:val="left"/>
        <w:rPr>
          <w:rFonts w:ascii="宋体"/>
          <w:sz w:val="24"/>
          <w:szCs w:val="24"/>
        </w:rPr>
      </w:pPr>
    </w:p>
    <w:p>
      <w:pPr>
        <w:keepNext w:val="0"/>
        <w:keepLines w:val="0"/>
        <w:pageBreakBefore w:val="0"/>
        <w:widowControl/>
        <w:kinsoku/>
        <w:wordWrap/>
        <w:overflowPunct/>
        <w:topLinePunct w:val="0"/>
        <w:autoSpaceDE/>
        <w:autoSpaceDN/>
        <w:bidi w:val="0"/>
        <w:adjustRightInd/>
        <w:snapToGrid/>
        <w:spacing w:before="313" w:beforeLines="100" w:line="360" w:lineRule="auto"/>
        <w:ind w:left="0" w:leftChars="0" w:right="0" w:rightChars="0" w:firstLine="0" w:firstLineChars="0"/>
        <w:jc w:val="center"/>
        <w:textAlignment w:val="auto"/>
        <w:outlineLvl w:val="9"/>
      </w:pPr>
      <w:r>
        <w:rPr>
          <w:rFonts w:hint="eastAsia" w:ascii="宋体"/>
          <w:b/>
          <w:bCs/>
          <w:sz w:val="24"/>
          <w:szCs w:val="24"/>
          <w:lang w:eastAsia="zh-CN"/>
        </w:rPr>
        <w:t>附图</w:t>
      </w:r>
      <w:r>
        <w:rPr>
          <w:rFonts w:hint="eastAsia" w:ascii="宋体"/>
          <w:b/>
          <w:bCs/>
          <w:sz w:val="24"/>
          <w:szCs w:val="24"/>
          <w:lang w:val="en-US" w:eastAsia="zh-CN"/>
        </w:rPr>
        <w:t>2  项目周边关系图</w:t>
      </w:r>
    </w:p>
    <w:p>
      <w:pPr>
        <w:widowControl/>
        <w:jc w:val="left"/>
      </w:pPr>
      <w:r>
        <w:pict>
          <v:shape id="_x0000_i1033" o:spt="75" type="#_x0000_t75" style="height:639.15pt;width:409.45pt;" filled="f" o:preferrelative="t" stroked="f" coordsize="21600,21600">
            <v:path/>
            <v:fill on="f" focussize="0,0"/>
            <v:stroke on="f"/>
            <v:imagedata r:id="rId18" o:title=""/>
            <o:lock v:ext="edit" aspectratio="t"/>
            <w10:wrap type="none"/>
            <w10:anchorlock/>
          </v:shape>
        </w:pict>
      </w:r>
    </w:p>
    <w:p>
      <w:pPr>
        <w:widowControl/>
        <w:jc w:val="left"/>
      </w:pPr>
    </w:p>
    <w:p>
      <w:pPr>
        <w:widowControl/>
        <w:jc w:val="left"/>
      </w:pPr>
    </w:p>
    <w:p>
      <w:pPr>
        <w:widowControl/>
        <w:spacing w:line="480" w:lineRule="atLeast"/>
        <w:ind w:firstLine="482" w:firstLineChars="200"/>
        <w:jc w:val="center"/>
      </w:pPr>
      <w:r>
        <w:rPr>
          <w:rFonts w:hint="eastAsia" w:ascii="宋体"/>
          <w:b/>
          <w:bCs/>
          <w:sz w:val="24"/>
          <w:szCs w:val="24"/>
          <w:lang w:eastAsia="zh-CN"/>
        </w:rPr>
        <w:t>附图</w:t>
      </w:r>
      <w:r>
        <w:rPr>
          <w:rFonts w:hint="eastAsia" w:ascii="宋体"/>
          <w:b/>
          <w:bCs/>
          <w:sz w:val="24"/>
          <w:szCs w:val="24"/>
          <w:lang w:val="en-US" w:eastAsia="zh-CN"/>
        </w:rPr>
        <w:t>3  项目平面布置图</w:t>
      </w:r>
    </w:p>
    <w:p>
      <w:pPr>
        <w:widowControl/>
        <w:spacing w:line="480" w:lineRule="atLeast"/>
        <w:ind w:firstLine="420" w:firstLineChars="200"/>
      </w:pPr>
      <w:r>
        <w:pict>
          <v:shape id="_x0000_i1034" o:spt="75" type="#_x0000_t75" style="height:578.25pt;width:400.45pt;" filled="f" o:preferrelative="t" stroked="f" coordsize="21600,21600">
            <v:path/>
            <v:fill on="f" focussize="0,0"/>
            <v:stroke on="f"/>
            <v:imagedata r:id="rId19" o:title=""/>
            <o:lock v:ext="edit" aspectratio="t"/>
            <w10:wrap type="none"/>
            <w10:anchorlock/>
          </v:shape>
        </w:pict>
      </w:r>
    </w:p>
    <w:p>
      <w:pPr>
        <w:keepNext w:val="0"/>
        <w:keepLines w:val="0"/>
        <w:pageBreakBefore w:val="0"/>
        <w:widowControl/>
        <w:kinsoku/>
        <w:wordWrap/>
        <w:overflowPunct/>
        <w:topLinePunct w:val="0"/>
        <w:autoSpaceDE/>
        <w:autoSpaceDN/>
        <w:bidi w:val="0"/>
        <w:adjustRightInd/>
        <w:snapToGrid/>
        <w:spacing w:before="157" w:beforeLines="50" w:after="157" w:afterLines="50" w:line="480" w:lineRule="atLeast"/>
        <w:ind w:left="0" w:leftChars="0" w:right="0" w:rightChars="0" w:firstLine="482" w:firstLineChars="200"/>
        <w:jc w:val="center"/>
        <w:textAlignment w:val="auto"/>
        <w:outlineLvl w:val="9"/>
      </w:pPr>
      <w:r>
        <w:rPr>
          <w:rFonts w:hint="eastAsia" w:ascii="宋体"/>
          <w:b/>
          <w:bCs/>
          <w:sz w:val="24"/>
          <w:szCs w:val="24"/>
          <w:lang w:eastAsia="zh-CN"/>
        </w:rPr>
        <w:br w:type="page"/>
      </w:r>
      <w:r>
        <w:rPr>
          <w:rFonts w:hint="eastAsia" w:ascii="宋体"/>
          <w:b/>
          <w:bCs/>
          <w:sz w:val="24"/>
          <w:szCs w:val="24"/>
          <w:lang w:eastAsia="zh-CN"/>
        </w:rPr>
        <w:t>附件</w:t>
      </w:r>
      <w:r>
        <w:rPr>
          <w:rFonts w:hint="eastAsia" w:ascii="宋体"/>
          <w:b/>
          <w:bCs/>
          <w:sz w:val="24"/>
          <w:szCs w:val="24"/>
          <w:lang w:val="en-US" w:eastAsia="zh-CN"/>
        </w:rPr>
        <w:t>1  项目环评审批意见</w:t>
      </w:r>
    </w:p>
    <w:p>
      <w:pPr>
        <w:widowControl/>
        <w:spacing w:line="480" w:lineRule="atLeast"/>
        <w:ind w:firstLine="420" w:firstLineChars="200"/>
      </w:pPr>
      <w:r>
        <w:pict>
          <v:shape id="_x0000_i1035" o:spt="75" type="#_x0000_t75" style="height:628.05pt;width:408.7pt;" filled="f" o:preferrelative="t" stroked="f" coordsize="21600,21600">
            <v:path/>
            <v:fill on="f" focussize="0,0"/>
            <v:stroke on="f"/>
            <v:imagedata r:id="rId20" o:title=""/>
            <o:lock v:ext="edit" aspectratio="t"/>
            <w10:wrap type="none"/>
            <w10:anchorlock/>
          </v:shape>
        </w:pict>
      </w:r>
    </w:p>
    <w:p>
      <w:pPr>
        <w:widowControl/>
        <w:spacing w:line="480" w:lineRule="atLeast"/>
        <w:jc w:val="center"/>
      </w:pPr>
      <w:r>
        <w:rPr>
          <w:rFonts w:hint="eastAsia" w:ascii="宋体"/>
          <w:b/>
          <w:bCs/>
          <w:sz w:val="24"/>
          <w:szCs w:val="24"/>
          <w:lang w:eastAsia="zh-CN"/>
        </w:rPr>
        <w:t>附件</w:t>
      </w:r>
      <w:r>
        <w:rPr>
          <w:rFonts w:hint="eastAsia" w:ascii="宋体"/>
          <w:b/>
          <w:bCs/>
          <w:sz w:val="24"/>
          <w:szCs w:val="24"/>
          <w:lang w:val="en-US" w:eastAsia="zh-CN"/>
        </w:rPr>
        <w:t>2  企业营业执照</w:t>
      </w:r>
    </w:p>
    <w:p>
      <w:pPr>
        <w:widowControl/>
        <w:spacing w:line="480" w:lineRule="atLeast"/>
        <w:jc w:val="center"/>
        <w:rPr>
          <w:rFonts w:hint="eastAsia" w:eastAsia="宋体"/>
          <w:lang w:eastAsia="zh-CN"/>
        </w:rPr>
      </w:pPr>
      <w:r>
        <w:rPr>
          <w:rFonts w:hint="eastAsia" w:eastAsia="宋体"/>
          <w:lang w:eastAsia="zh-CN"/>
        </w:rPr>
        <w:pict>
          <v:shape id="_x0000_i1036" o:spt="75" alt="233479084468512089" type="#_x0000_t75" style="height:587.5pt;width:414.9pt;" filled="f" o:preferrelative="t" stroked="f" coordsize="21600,21600">
            <v:path/>
            <v:fill on="f" focussize="0,0"/>
            <v:stroke on="f"/>
            <v:imagedata r:id="rId21" o:title="233479084468512089"/>
            <o:lock v:ext="edit" aspectratio="t"/>
            <w10:wrap type="none"/>
            <w10:anchorlock/>
          </v:shape>
        </w:pict>
      </w:r>
    </w:p>
    <w:p>
      <w:pPr>
        <w:widowControl/>
        <w:spacing w:line="480" w:lineRule="atLeast"/>
        <w:jc w:val="cente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br w:type="page"/>
      </w:r>
      <w:r>
        <w:rPr>
          <w:rFonts w:hint="eastAsia" w:ascii="宋体"/>
          <w:b/>
          <w:bCs/>
          <w:sz w:val="24"/>
          <w:szCs w:val="24"/>
          <w:lang w:eastAsia="zh-CN"/>
        </w:rPr>
        <w:t>附件</w:t>
      </w:r>
      <w:r>
        <w:rPr>
          <w:rFonts w:hint="eastAsia" w:ascii="宋体"/>
          <w:b/>
          <w:bCs/>
          <w:sz w:val="24"/>
          <w:szCs w:val="24"/>
          <w:lang w:val="en-US" w:eastAsia="zh-CN"/>
        </w:rPr>
        <w:t>3  危废处置合同</w:t>
      </w:r>
      <w:r>
        <w:pict>
          <v:shape id="_x0000_i1037" o:spt="75" type="#_x0000_t75" style="height:626.05pt;width:401.65pt;" filled="f" o:preferrelative="t" stroked="f" coordsize="21600,21600">
            <v:path/>
            <v:fill on="f" focussize="0,0"/>
            <v:stroke on="f"/>
            <v:imagedata r:id="rId22" o:title=""/>
            <o:lock v:ext="edit" aspectratio="t"/>
            <w10:wrap type="none"/>
            <w10:anchorlock/>
          </v:shape>
        </w:pict>
      </w:r>
      <w:r>
        <w:pict>
          <v:shape id="_x0000_i1038" o:spt="75" type="#_x0000_t75" style="height:652.4pt;width:407.2pt;" filled="f" stroked="f" coordsize="21600,21600">
            <v:path/>
            <v:fill on="f" focussize="0,0"/>
            <v:stroke on="f"/>
            <v:imagedata r:id="rId23" o:title=""/>
            <o:lock v:ext="edit" aspectratio="t"/>
            <w10:wrap type="none"/>
            <w10:anchorlock/>
          </v:shape>
        </w:pict>
      </w:r>
      <w:r>
        <w:pict>
          <v:shape id="_x0000_i1039" o:spt="75" type="#_x0000_t75" style="height:697.3pt;width:401.85pt;" filled="f" stroked="f" coordsize="21600,21600">
            <v:path/>
            <v:fill on="f" focussize="0,0"/>
            <v:stroke on="f"/>
            <v:imagedata r:id="rId24"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outlineLvl w:val="9"/>
      </w:pPr>
      <w:r>
        <w:rPr>
          <w:rFonts w:hint="eastAsia" w:ascii="宋体" w:hAnsi="宋体" w:cs="宋体"/>
        </w:rPr>
        <w:t>建设项目工程竣工环境保护</w:t>
      </w:r>
      <w:r>
        <w:t>“</w:t>
      </w:r>
      <w:r>
        <w:rPr>
          <w:rFonts w:hint="eastAsia" w:ascii="宋体" w:hAnsi="宋体" w:cs="宋体"/>
        </w:rPr>
        <w:t>三同时</w:t>
      </w:r>
      <w:r>
        <w:t>”</w:t>
      </w:r>
      <w:r>
        <w:rPr>
          <w:rFonts w:hint="eastAsia" w:ascii="宋体" w:hAnsi="宋体" w:cs="宋体"/>
        </w:rPr>
        <w:t>验收登记表</w:t>
      </w:r>
    </w:p>
    <w:p>
      <w:pPr>
        <w:ind w:firstLine="210" w:firstLineChars="100"/>
      </w:pPr>
      <w:r>
        <w:rPr>
          <w:rFonts w:hint="eastAsia" w:ascii="宋体" w:hAnsi="宋体" w:cs="宋体"/>
        </w:rPr>
        <w:t>填表单位（盖章）：</w:t>
      </w:r>
      <w:r>
        <w:t xml:space="preserve"> </w:t>
      </w:r>
      <w:r>
        <w:rPr>
          <w:rFonts w:hint="eastAsia" w:ascii="宋体" w:hAnsi="宋体"/>
          <w:sz w:val="24"/>
          <w:szCs w:val="24"/>
        </w:rPr>
        <w:t>沧州燕赵环境监测技术服务有限公司</w:t>
      </w:r>
      <w:r>
        <w:t xml:space="preserve">                   </w:t>
      </w:r>
      <w:r>
        <w:rPr>
          <w:rFonts w:hint="eastAsia" w:ascii="宋体" w:hAnsi="宋体" w:cs="宋体"/>
        </w:rPr>
        <w:t>填表人（签字）：</w:t>
      </w:r>
      <w:r>
        <w:t xml:space="preserve">                            </w:t>
      </w:r>
      <w:r>
        <w:rPr>
          <w:rFonts w:hint="eastAsia" w:ascii="宋体" w:hAnsi="宋体" w:cs="宋体"/>
        </w:rPr>
        <w:t>项目经办人（签字）：</w:t>
      </w:r>
    </w:p>
    <w:tbl>
      <w:tblPr>
        <w:tblStyle w:val="35"/>
        <w:tblW w:w="158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567"/>
        <w:gridCol w:w="567"/>
        <w:gridCol w:w="1134"/>
        <w:gridCol w:w="142"/>
        <w:gridCol w:w="992"/>
        <w:gridCol w:w="1566"/>
        <w:gridCol w:w="1079"/>
        <w:gridCol w:w="616"/>
        <w:gridCol w:w="69"/>
        <w:gridCol w:w="308"/>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421" w:type="dxa"/>
            <w:vMerge w:val="restart"/>
          </w:tcPr>
          <w:p>
            <w:pPr>
              <w:spacing w:line="260" w:lineRule="exact"/>
              <w:rPr>
                <w:rFonts w:ascii="黑体" w:hAnsi="黑体" w:eastAsia="黑体"/>
                <w:sz w:val="15"/>
                <w:szCs w:val="15"/>
              </w:rPr>
            </w:pPr>
          </w:p>
          <w:p>
            <w:pPr>
              <w:spacing w:line="260" w:lineRule="exact"/>
              <w:rPr>
                <w:rFonts w:ascii="黑体" w:hAnsi="黑体" w:eastAsia="黑体"/>
                <w:sz w:val="15"/>
                <w:szCs w:val="15"/>
              </w:rPr>
            </w:pPr>
          </w:p>
          <w:p>
            <w:pPr>
              <w:spacing w:line="260" w:lineRule="exact"/>
              <w:rPr>
                <w:rFonts w:ascii="黑体" w:hAnsi="黑体" w:eastAsia="黑体"/>
                <w:sz w:val="15"/>
                <w:szCs w:val="15"/>
              </w:rPr>
            </w:pPr>
          </w:p>
          <w:p>
            <w:pPr>
              <w:spacing w:line="260" w:lineRule="exact"/>
              <w:rPr>
                <w:rFonts w:ascii="黑体" w:hAnsi="黑体" w:eastAsia="黑体"/>
                <w:sz w:val="15"/>
                <w:szCs w:val="15"/>
              </w:rPr>
            </w:pPr>
            <w:r>
              <w:rPr>
                <w:rFonts w:hint="eastAsia" w:ascii="黑体" w:hAnsi="黑体" w:eastAsia="黑体"/>
                <w:sz w:val="15"/>
                <w:szCs w:val="15"/>
              </w:rPr>
              <w:t>建设项目</w:t>
            </w: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项目名称</w:t>
            </w:r>
          </w:p>
        </w:tc>
        <w:tc>
          <w:tcPr>
            <w:tcW w:w="4678" w:type="dxa"/>
            <w:gridSpan w:val="7"/>
          </w:tcPr>
          <w:p>
            <w:pPr>
              <w:spacing w:line="260" w:lineRule="exact"/>
              <w:rPr>
                <w:rFonts w:ascii="黑体" w:hAnsi="黑体" w:eastAsia="黑体"/>
                <w:sz w:val="15"/>
                <w:szCs w:val="15"/>
              </w:rPr>
            </w:pPr>
            <w:r>
              <w:rPr>
                <w:rFonts w:hint="eastAsia" w:ascii="黑体" w:hAnsi="黑体" w:eastAsia="黑体"/>
                <w:sz w:val="15"/>
                <w:szCs w:val="15"/>
              </w:rPr>
              <w:t>唐山正元管业有限公司建设焊管生产线项目</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项目代码</w:t>
            </w:r>
          </w:p>
        </w:tc>
        <w:tc>
          <w:tcPr>
            <w:tcW w:w="2558" w:type="dxa"/>
            <w:gridSpan w:val="2"/>
          </w:tcPr>
          <w:p>
            <w:pPr>
              <w:spacing w:line="260" w:lineRule="exact"/>
              <w:rPr>
                <w:rFonts w:ascii="黑体" w:hAnsi="黑体" w:eastAsia="黑体"/>
                <w:sz w:val="15"/>
                <w:szCs w:val="15"/>
              </w:rPr>
            </w:pPr>
          </w:p>
        </w:tc>
        <w:tc>
          <w:tcPr>
            <w:tcW w:w="1764" w:type="dxa"/>
            <w:gridSpan w:val="3"/>
          </w:tcPr>
          <w:p>
            <w:pPr>
              <w:spacing w:line="260" w:lineRule="exact"/>
              <w:rPr>
                <w:rFonts w:ascii="黑体" w:hAnsi="黑体" w:eastAsia="黑体"/>
                <w:sz w:val="15"/>
                <w:szCs w:val="15"/>
              </w:rPr>
            </w:pPr>
            <w:r>
              <w:rPr>
                <w:rFonts w:hint="eastAsia" w:ascii="黑体" w:hAnsi="黑体" w:eastAsia="黑体"/>
                <w:sz w:val="15"/>
                <w:szCs w:val="15"/>
              </w:rPr>
              <w:t>建设地点</w:t>
            </w:r>
          </w:p>
        </w:tc>
        <w:tc>
          <w:tcPr>
            <w:tcW w:w="2604" w:type="dxa"/>
            <w:gridSpan w:val="5"/>
          </w:tcPr>
          <w:p>
            <w:pPr>
              <w:spacing w:line="260" w:lineRule="exact"/>
              <w:rPr>
                <w:rFonts w:ascii="黑体" w:hAnsi="黑体" w:eastAsia="黑体"/>
                <w:sz w:val="15"/>
                <w:szCs w:val="15"/>
              </w:rPr>
            </w:pPr>
            <w:r>
              <w:rPr>
                <w:rFonts w:hint="eastAsia" w:ascii="黑体" w:hAnsi="黑体" w:eastAsia="黑体"/>
                <w:spacing w:val="-11"/>
                <w:sz w:val="15"/>
                <w:szCs w:val="15"/>
              </w:rPr>
              <w:t>唐</w:t>
            </w:r>
            <w:r>
              <w:rPr>
                <w:rFonts w:hint="eastAsia" w:ascii="黑体" w:hAnsi="黑体" w:eastAsia="黑体"/>
                <w:spacing w:val="-6"/>
                <w:sz w:val="15"/>
                <w:szCs w:val="15"/>
              </w:rPr>
              <w:t>山市丰南区河北丰南临港经济开发区</w:t>
            </w:r>
            <w:r>
              <w:rPr>
                <w:rFonts w:hint="eastAsia" w:ascii="黑体" w:hAnsi="黑体" w:eastAsia="黑体"/>
                <w:spacing w:val="-6"/>
                <w:sz w:val="15"/>
                <w:szCs w:val="15"/>
                <w:lang w:eastAsia="zh-CN"/>
              </w:rPr>
              <w:t>，唐山正元管业有限公司现有厂区内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行业分类</w:t>
            </w:r>
            <w:r>
              <w:rPr>
                <w:rFonts w:ascii="黑体" w:hAnsi="黑体" w:eastAsia="黑体"/>
                <w:sz w:val="15"/>
                <w:szCs w:val="15"/>
              </w:rPr>
              <w:t>(</w:t>
            </w:r>
            <w:r>
              <w:rPr>
                <w:rFonts w:hint="eastAsia" w:ascii="黑体" w:hAnsi="黑体" w:eastAsia="黑体"/>
                <w:sz w:val="15"/>
                <w:szCs w:val="15"/>
              </w:rPr>
              <w:t>分类管理名录</w:t>
            </w:r>
            <w:r>
              <w:rPr>
                <w:rFonts w:ascii="黑体" w:hAnsi="黑体" w:eastAsia="黑体"/>
                <w:sz w:val="15"/>
                <w:szCs w:val="15"/>
              </w:rPr>
              <w:t>)</w:t>
            </w:r>
          </w:p>
        </w:tc>
        <w:tc>
          <w:tcPr>
            <w:tcW w:w="4678" w:type="dxa"/>
            <w:gridSpan w:val="7"/>
          </w:tcPr>
          <w:p>
            <w:pPr>
              <w:spacing w:line="260" w:lineRule="exact"/>
              <w:rPr>
                <w:rFonts w:ascii="黑体" w:hAnsi="黑体" w:eastAsia="黑体"/>
                <w:sz w:val="15"/>
                <w:szCs w:val="15"/>
              </w:rPr>
            </w:pPr>
            <w:r>
              <w:rPr>
                <w:rFonts w:hint="eastAsia" w:ascii="黑体" w:hAnsi="黑体" w:eastAsia="黑体"/>
                <w:sz w:val="15"/>
                <w:szCs w:val="15"/>
              </w:rPr>
              <w:t>C33金属制品业</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建设性质</w:t>
            </w:r>
          </w:p>
        </w:tc>
        <w:tc>
          <w:tcPr>
            <w:tcW w:w="6926" w:type="dxa"/>
            <w:gridSpan w:val="10"/>
          </w:tcPr>
          <w:p>
            <w:pPr>
              <w:spacing w:line="260" w:lineRule="exact"/>
              <w:rPr>
                <w:rFonts w:ascii="黑体" w:hAnsi="黑体" w:eastAsia="黑体"/>
                <w:sz w:val="15"/>
                <w:szCs w:val="15"/>
              </w:rPr>
            </w:pPr>
            <w:r>
              <w:pict>
                <v:rect id="_x0000_s1185" o:spid="_x0000_s1185" o:spt="1" style="position:absolute;left:0pt;margin-left:1pt;margin-top:4.6pt;height:5.6pt;width:5.25pt;z-index:1779738624;v-text-anchor:middle;mso-width-relative:page;mso-height-relative:page;" coordsize="21600,21600">
                  <v:path/>
                  <v:fill focussize="0,0"/>
                  <v:stroke weight="1pt"/>
                  <v:imagedata o:title=""/>
                  <o:lock v:ext="edit"/>
                </v:rect>
              </w:pict>
            </w:r>
            <w:r>
              <w:pict>
                <v:rect id="矩形 22" o:spid="_x0000_s1184" o:spt="1" style="position:absolute;left:0pt;margin-left:30.05pt;margin-top:5pt;height:5.6pt;width:5.25pt;z-index:1779738624;v-text-anchor:middle;mso-width-relative:page;mso-height-relative:page;" fillcolor="#000000" filled="t" coordsize="21600,21600">
                  <v:path/>
                  <v:fill on="t" focussize="0,0"/>
                  <v:stroke weight="1pt"/>
                  <v:imagedata o:title=""/>
                  <o:lock v:ext="edit"/>
                </v:rect>
              </w:pict>
            </w:r>
            <w:r>
              <w:pict>
                <v:rect id="矩形 28" o:spid="_x0000_s1040" o:spt="1" style="position:absolute;left:0pt;margin-left:65.5pt;margin-top:5pt;height:5.6pt;width:5.25pt;z-index:1024;v-text-anchor:middle;mso-width-relative:page;mso-height-relative:page;" coordsize="21600,21600">
                  <v:path/>
                  <v:fill focussize="0,0"/>
                  <v:stroke weight="1pt"/>
                  <v:imagedata o:title=""/>
                  <o:lock v:ext="edit"/>
                </v:rect>
              </w:pict>
            </w:r>
            <w:r>
              <w:pict>
                <v:rect id="矩形 27" o:spid="_x0000_s1041" o:spt="1" style="position:absolute;left:0pt;margin-left:30.15pt;margin-top:5.3pt;height:5.6pt;width:5.25pt;z-index:1024;v-text-anchor:middle;mso-width-relative:page;mso-height-relative:page;" coordsize="21600,21600">
                  <v:path/>
                  <v:fill focussize="0,0"/>
                  <v:stroke weight="1pt"/>
                  <v:imagedata o:title=""/>
                  <o:lock v:ext="edit"/>
                </v:rect>
              </w:pict>
            </w:r>
            <w:r>
              <w:rPr>
                <w:rFonts w:ascii="黑体" w:hAnsi="黑体" w:eastAsia="黑体"/>
                <w:sz w:val="15"/>
                <w:szCs w:val="15"/>
              </w:rPr>
              <w:t xml:space="preserve">  </w:t>
            </w:r>
            <w:r>
              <w:rPr>
                <w:rFonts w:hint="eastAsia" w:ascii="黑体" w:hAnsi="黑体" w:eastAsia="黑体"/>
                <w:sz w:val="15"/>
                <w:szCs w:val="15"/>
              </w:rPr>
              <w:t>新建</w:t>
            </w:r>
            <w:r>
              <w:rPr>
                <w:rFonts w:ascii="黑体" w:hAnsi="黑体" w:eastAsia="黑体"/>
                <w:sz w:val="15"/>
                <w:szCs w:val="15"/>
              </w:rPr>
              <w:t xml:space="preserve">    </w:t>
            </w:r>
            <w:r>
              <w:rPr>
                <w:rFonts w:hint="eastAsia" w:ascii="黑体" w:hAnsi="黑体" w:eastAsia="黑体"/>
                <w:sz w:val="15"/>
                <w:szCs w:val="15"/>
              </w:rPr>
              <w:t>改扩建</w:t>
            </w:r>
            <w:r>
              <w:rPr>
                <w:rFonts w:ascii="黑体" w:hAnsi="黑体" w:eastAsia="黑体"/>
                <w:sz w:val="15"/>
                <w:szCs w:val="15"/>
              </w:rPr>
              <w:t xml:space="preserve">    </w:t>
            </w:r>
            <w:r>
              <w:rPr>
                <w:rFonts w:hint="eastAsia" w:ascii="黑体" w:hAnsi="黑体" w:eastAsia="黑体"/>
                <w:sz w:val="15"/>
                <w:szCs w:val="15"/>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设计生产能力</w:t>
            </w:r>
          </w:p>
        </w:tc>
        <w:tc>
          <w:tcPr>
            <w:tcW w:w="4678" w:type="dxa"/>
            <w:gridSpan w:val="7"/>
          </w:tcPr>
          <w:p>
            <w:pPr>
              <w:spacing w:line="260" w:lineRule="exact"/>
              <w:rPr>
                <w:rFonts w:ascii="黑体" w:hAnsi="黑体" w:eastAsia="黑体"/>
                <w:sz w:val="15"/>
                <w:szCs w:val="15"/>
              </w:rPr>
            </w:pPr>
            <w:r>
              <w:rPr>
                <w:rFonts w:hint="eastAsia" w:ascii="黑体" w:hAnsi="黑体" w:eastAsia="黑体"/>
                <w:sz w:val="15"/>
                <w:szCs w:val="15"/>
              </w:rPr>
              <w:t>年产高频直缝焊管40万吨</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实际生产能力</w:t>
            </w:r>
          </w:p>
        </w:tc>
        <w:tc>
          <w:tcPr>
            <w:tcW w:w="2558" w:type="dxa"/>
            <w:gridSpan w:val="2"/>
          </w:tcPr>
          <w:p>
            <w:pPr>
              <w:spacing w:line="260" w:lineRule="exact"/>
              <w:rPr>
                <w:rFonts w:ascii="黑体" w:hAnsi="黑体" w:eastAsia="黑体"/>
                <w:sz w:val="15"/>
                <w:szCs w:val="15"/>
              </w:rPr>
            </w:pPr>
            <w:r>
              <w:rPr>
                <w:rFonts w:hint="eastAsia" w:ascii="黑体" w:hAnsi="黑体" w:eastAsia="黑体"/>
                <w:sz w:val="15"/>
                <w:szCs w:val="15"/>
              </w:rPr>
              <w:t>年产高频直缝焊管40万吨</w:t>
            </w: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环评单位</w:t>
            </w:r>
          </w:p>
        </w:tc>
        <w:tc>
          <w:tcPr>
            <w:tcW w:w="2673" w:type="dxa"/>
            <w:gridSpan w:val="6"/>
          </w:tcPr>
          <w:p>
            <w:pPr>
              <w:spacing w:line="260" w:lineRule="exact"/>
              <w:rPr>
                <w:rFonts w:ascii="黑体" w:hAnsi="黑体" w:eastAsia="黑体"/>
                <w:sz w:val="15"/>
                <w:szCs w:val="15"/>
              </w:rPr>
            </w:pPr>
            <w:r>
              <w:rPr>
                <w:rFonts w:hint="eastAsia" w:ascii="黑体" w:hAnsi="黑体" w:eastAsia="黑体"/>
                <w:sz w:val="15"/>
                <w:szCs w:val="15"/>
              </w:rPr>
              <w:t>河北省众联能源环保科技有限公司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环评文件审批机关</w:t>
            </w:r>
          </w:p>
        </w:tc>
        <w:tc>
          <w:tcPr>
            <w:tcW w:w="4678" w:type="dxa"/>
            <w:gridSpan w:val="7"/>
          </w:tcPr>
          <w:p>
            <w:pPr>
              <w:spacing w:line="260" w:lineRule="exact"/>
              <w:rPr>
                <w:rFonts w:ascii="黑体" w:hAnsi="黑体" w:eastAsia="黑体"/>
                <w:sz w:val="15"/>
                <w:szCs w:val="15"/>
              </w:rPr>
            </w:pPr>
            <w:r>
              <w:rPr>
                <w:rFonts w:hint="eastAsia" w:ascii="黑体" w:hAnsi="黑体" w:eastAsia="黑体"/>
                <w:sz w:val="15"/>
                <w:szCs w:val="15"/>
                <w:lang w:eastAsia="zh-CN"/>
              </w:rPr>
              <w:t>唐山市丰南区</w:t>
            </w:r>
            <w:r>
              <w:rPr>
                <w:rFonts w:hint="eastAsia" w:ascii="黑体" w:hAnsi="黑体" w:eastAsia="黑体"/>
                <w:sz w:val="15"/>
                <w:szCs w:val="15"/>
              </w:rPr>
              <w:t>环境保护局</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审批文号</w:t>
            </w:r>
          </w:p>
        </w:tc>
        <w:tc>
          <w:tcPr>
            <w:tcW w:w="2558" w:type="dxa"/>
            <w:gridSpan w:val="2"/>
          </w:tcPr>
          <w:p>
            <w:pPr>
              <w:spacing w:line="260" w:lineRule="exact"/>
              <w:rPr>
                <w:rFonts w:hint="eastAsia" w:ascii="黑体" w:hAnsi="黑体" w:eastAsia="黑体"/>
                <w:sz w:val="15"/>
                <w:szCs w:val="15"/>
                <w:lang w:eastAsia="zh-CN"/>
              </w:rPr>
            </w:pPr>
            <w:r>
              <w:rPr>
                <w:rFonts w:hint="eastAsia" w:ascii="黑体" w:hAnsi="黑体" w:eastAsia="黑体"/>
                <w:sz w:val="15"/>
                <w:szCs w:val="15"/>
                <w:lang w:eastAsia="zh-CN"/>
              </w:rPr>
              <w:t>丰环表</w:t>
            </w:r>
            <w:r>
              <w:rPr>
                <w:rFonts w:hint="eastAsia" w:ascii="黑体" w:hAnsi="黑体" w:eastAsia="黑体"/>
                <w:sz w:val="15"/>
                <w:szCs w:val="15"/>
                <w:lang w:val="en-US" w:eastAsia="zh-CN"/>
              </w:rPr>
              <w:t>[2017]103号</w:t>
            </w: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环评文件类型</w:t>
            </w:r>
          </w:p>
        </w:tc>
        <w:tc>
          <w:tcPr>
            <w:tcW w:w="2673" w:type="dxa"/>
            <w:gridSpan w:val="6"/>
          </w:tcPr>
          <w:p>
            <w:pPr>
              <w:spacing w:line="260" w:lineRule="exact"/>
              <w:rPr>
                <w:rFonts w:ascii="黑体" w:hAnsi="黑体" w:eastAsia="黑体"/>
                <w:sz w:val="15"/>
                <w:szCs w:val="15"/>
              </w:rPr>
            </w:pPr>
            <w:r>
              <w:rPr>
                <w:rFonts w:hint="eastAsia" w:ascii="黑体" w:hAnsi="黑体" w:eastAsia="黑体"/>
                <w:sz w:val="15"/>
                <w:szCs w:val="15"/>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开工日期</w:t>
            </w:r>
          </w:p>
        </w:tc>
        <w:tc>
          <w:tcPr>
            <w:tcW w:w="4678" w:type="dxa"/>
            <w:gridSpan w:val="7"/>
          </w:tcPr>
          <w:p>
            <w:pPr>
              <w:spacing w:line="260" w:lineRule="exact"/>
              <w:rPr>
                <w:rFonts w:ascii="黑体" w:hAnsi="黑体" w:eastAsia="黑体"/>
                <w:sz w:val="15"/>
                <w:szCs w:val="15"/>
              </w:rPr>
            </w:pP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竣工日期</w:t>
            </w:r>
          </w:p>
        </w:tc>
        <w:tc>
          <w:tcPr>
            <w:tcW w:w="2558" w:type="dxa"/>
            <w:gridSpan w:val="2"/>
          </w:tcPr>
          <w:p>
            <w:pPr>
              <w:spacing w:line="260" w:lineRule="exact"/>
              <w:rPr>
                <w:rFonts w:ascii="黑体" w:hAnsi="黑体" w:eastAsia="黑体"/>
                <w:sz w:val="15"/>
                <w:szCs w:val="15"/>
              </w:rPr>
            </w:pP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排污许可证申领时间</w:t>
            </w:r>
          </w:p>
        </w:tc>
        <w:tc>
          <w:tcPr>
            <w:tcW w:w="2673" w:type="dxa"/>
            <w:gridSpan w:val="6"/>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环保设施设计单位</w:t>
            </w:r>
          </w:p>
        </w:tc>
        <w:tc>
          <w:tcPr>
            <w:tcW w:w="4678" w:type="dxa"/>
            <w:gridSpan w:val="7"/>
          </w:tcPr>
          <w:p>
            <w:pPr>
              <w:spacing w:line="260" w:lineRule="exact"/>
              <w:rPr>
                <w:rFonts w:ascii="黑体" w:hAnsi="黑体" w:eastAsia="黑体"/>
                <w:sz w:val="15"/>
                <w:szCs w:val="15"/>
              </w:rPr>
            </w:pP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环保设施施工单位</w:t>
            </w:r>
          </w:p>
        </w:tc>
        <w:tc>
          <w:tcPr>
            <w:tcW w:w="2558" w:type="dxa"/>
            <w:gridSpan w:val="2"/>
          </w:tcPr>
          <w:p>
            <w:pPr>
              <w:spacing w:line="260" w:lineRule="exact"/>
              <w:rPr>
                <w:rFonts w:ascii="黑体" w:hAnsi="黑体" w:eastAsia="黑体"/>
                <w:sz w:val="15"/>
                <w:szCs w:val="15"/>
              </w:rPr>
            </w:pP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本工程排污许可证编号</w:t>
            </w:r>
          </w:p>
        </w:tc>
        <w:tc>
          <w:tcPr>
            <w:tcW w:w="2673" w:type="dxa"/>
            <w:gridSpan w:val="6"/>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验收单位</w:t>
            </w:r>
          </w:p>
        </w:tc>
        <w:tc>
          <w:tcPr>
            <w:tcW w:w="4678" w:type="dxa"/>
            <w:gridSpan w:val="7"/>
          </w:tcPr>
          <w:p>
            <w:pPr>
              <w:spacing w:line="260" w:lineRule="exact"/>
              <w:rPr>
                <w:rFonts w:ascii="黑体" w:hAnsi="黑体" w:eastAsia="黑体"/>
                <w:sz w:val="15"/>
                <w:szCs w:val="15"/>
              </w:rPr>
            </w:pP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环保设施监测单位</w:t>
            </w:r>
          </w:p>
        </w:tc>
        <w:tc>
          <w:tcPr>
            <w:tcW w:w="2558" w:type="dxa"/>
            <w:gridSpan w:val="2"/>
          </w:tcPr>
          <w:p>
            <w:pPr>
              <w:spacing w:line="260" w:lineRule="exact"/>
              <w:rPr>
                <w:rFonts w:hint="eastAsia" w:ascii="黑体" w:hAnsi="黑体" w:eastAsia="黑体"/>
                <w:sz w:val="15"/>
                <w:szCs w:val="15"/>
                <w:lang w:eastAsia="zh-CN"/>
              </w:rPr>
            </w:pPr>
            <w:r>
              <w:rPr>
                <w:rFonts w:hint="eastAsia" w:ascii="黑体" w:hAnsi="黑体" w:eastAsia="黑体"/>
                <w:spacing w:val="-6"/>
                <w:sz w:val="15"/>
                <w:szCs w:val="15"/>
                <w:lang w:eastAsia="zh-CN"/>
              </w:rPr>
              <w:t>沧州燕赵环境监测技术服务有限公司</w:t>
            </w: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验收监测时工况</w:t>
            </w:r>
          </w:p>
        </w:tc>
        <w:tc>
          <w:tcPr>
            <w:tcW w:w="2673" w:type="dxa"/>
            <w:gridSpan w:val="6"/>
          </w:tcPr>
          <w:p>
            <w:pPr>
              <w:spacing w:line="260" w:lineRule="exact"/>
              <w:rPr>
                <w:rFonts w:ascii="黑体" w:hAnsi="黑体" w:eastAsia="黑体"/>
                <w:sz w:val="15"/>
                <w:szCs w:val="15"/>
              </w:rPr>
            </w:pPr>
            <w:r>
              <w:rPr>
                <w:rFonts w:hint="eastAsia" w:ascii="黑体" w:hAnsi="黑体" w:eastAsia="黑体"/>
                <w:sz w:val="15"/>
                <w:szCs w:val="15"/>
              </w:rPr>
              <w:t>＞</w:t>
            </w:r>
            <w:r>
              <w:rPr>
                <w:rFonts w:ascii="黑体" w:hAnsi="黑体" w:eastAsia="黑体"/>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投资总概算（万元）</w:t>
            </w:r>
          </w:p>
        </w:tc>
        <w:tc>
          <w:tcPr>
            <w:tcW w:w="4678" w:type="dxa"/>
            <w:gridSpan w:val="7"/>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5000.18</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环保投资总概算</w:t>
            </w:r>
            <w:r>
              <w:rPr>
                <w:rFonts w:ascii="黑体" w:hAnsi="黑体" w:eastAsia="黑体"/>
                <w:sz w:val="15"/>
                <w:szCs w:val="15"/>
              </w:rPr>
              <w:t>(</w:t>
            </w:r>
            <w:r>
              <w:rPr>
                <w:rFonts w:hint="eastAsia" w:ascii="黑体" w:hAnsi="黑体" w:eastAsia="黑体"/>
                <w:sz w:val="15"/>
                <w:szCs w:val="15"/>
              </w:rPr>
              <w:t>万元</w:t>
            </w:r>
            <w:r>
              <w:rPr>
                <w:rFonts w:ascii="黑体" w:hAnsi="黑体" w:eastAsia="黑体"/>
                <w:sz w:val="15"/>
                <w:szCs w:val="15"/>
              </w:rPr>
              <w:t>)</w:t>
            </w:r>
          </w:p>
        </w:tc>
        <w:tc>
          <w:tcPr>
            <w:tcW w:w="2558" w:type="dxa"/>
            <w:gridSpan w:val="2"/>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32.2</w:t>
            </w: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所占比例（</w:t>
            </w:r>
            <w:r>
              <w:rPr>
                <w:rFonts w:ascii="黑体" w:hAnsi="黑体" w:eastAsia="黑体"/>
                <w:sz w:val="15"/>
                <w:szCs w:val="15"/>
              </w:rPr>
              <w:t>%</w:t>
            </w:r>
            <w:r>
              <w:rPr>
                <w:rFonts w:hint="eastAsia" w:ascii="黑体" w:hAnsi="黑体" w:eastAsia="黑体"/>
                <w:sz w:val="15"/>
                <w:szCs w:val="15"/>
              </w:rPr>
              <w:t>）</w:t>
            </w:r>
          </w:p>
        </w:tc>
        <w:tc>
          <w:tcPr>
            <w:tcW w:w="2673" w:type="dxa"/>
            <w:gridSpan w:val="6"/>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实际总投资（万元）</w:t>
            </w:r>
          </w:p>
        </w:tc>
        <w:tc>
          <w:tcPr>
            <w:tcW w:w="4678" w:type="dxa"/>
            <w:gridSpan w:val="7"/>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5000.18</w:t>
            </w: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实际环保投资</w:t>
            </w:r>
            <w:r>
              <w:rPr>
                <w:rFonts w:ascii="黑体" w:hAnsi="黑体" w:eastAsia="黑体"/>
                <w:sz w:val="15"/>
                <w:szCs w:val="15"/>
              </w:rPr>
              <w:t xml:space="preserve"> (</w:t>
            </w:r>
            <w:r>
              <w:rPr>
                <w:rFonts w:hint="eastAsia" w:ascii="黑体" w:hAnsi="黑体" w:eastAsia="黑体"/>
                <w:sz w:val="15"/>
                <w:szCs w:val="15"/>
              </w:rPr>
              <w:t>万元</w:t>
            </w:r>
            <w:r>
              <w:rPr>
                <w:rFonts w:ascii="黑体" w:hAnsi="黑体" w:eastAsia="黑体"/>
                <w:sz w:val="15"/>
                <w:szCs w:val="15"/>
              </w:rPr>
              <w:t>)</w:t>
            </w:r>
          </w:p>
        </w:tc>
        <w:tc>
          <w:tcPr>
            <w:tcW w:w="2558" w:type="dxa"/>
            <w:gridSpan w:val="2"/>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32.2</w:t>
            </w: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所占比例</w:t>
            </w:r>
            <w:r>
              <w:rPr>
                <w:rFonts w:ascii="黑体" w:hAnsi="黑体" w:eastAsia="黑体"/>
                <w:sz w:val="15"/>
                <w:szCs w:val="15"/>
              </w:rPr>
              <w:t>(%</w:t>
            </w:r>
            <w:r>
              <w:rPr>
                <w:rFonts w:hint="eastAsia" w:ascii="黑体" w:hAnsi="黑体" w:eastAsia="黑体"/>
                <w:sz w:val="15"/>
                <w:szCs w:val="15"/>
              </w:rPr>
              <w:t>）</w:t>
            </w:r>
          </w:p>
        </w:tc>
        <w:tc>
          <w:tcPr>
            <w:tcW w:w="2673" w:type="dxa"/>
            <w:gridSpan w:val="6"/>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废水治理（万元）</w:t>
            </w:r>
          </w:p>
        </w:tc>
        <w:tc>
          <w:tcPr>
            <w:tcW w:w="709" w:type="dxa"/>
          </w:tcPr>
          <w:p>
            <w:pPr>
              <w:spacing w:line="260" w:lineRule="exact"/>
              <w:rPr>
                <w:rFonts w:ascii="黑体" w:hAnsi="黑体" w:eastAsia="黑体"/>
                <w:sz w:val="15"/>
                <w:szCs w:val="15"/>
              </w:rPr>
            </w:pPr>
            <w:r>
              <w:rPr>
                <w:rFonts w:ascii="黑体" w:hAnsi="黑体" w:eastAsia="黑体"/>
                <w:sz w:val="15"/>
                <w:szCs w:val="15"/>
              </w:rPr>
              <w:t>2</w:t>
            </w:r>
            <w:r>
              <w:rPr>
                <w:rFonts w:hint="eastAsia" w:ascii="黑体" w:hAnsi="黑体" w:eastAsia="黑体"/>
                <w:sz w:val="15"/>
                <w:szCs w:val="15"/>
                <w:lang w:val="en-US" w:eastAsia="zh-CN"/>
              </w:rPr>
              <w:t>6</w:t>
            </w:r>
          </w:p>
        </w:tc>
        <w:tc>
          <w:tcPr>
            <w:tcW w:w="1276" w:type="dxa"/>
            <w:gridSpan w:val="2"/>
          </w:tcPr>
          <w:p>
            <w:pPr>
              <w:spacing w:line="260" w:lineRule="exact"/>
              <w:rPr>
                <w:rFonts w:ascii="黑体" w:hAnsi="黑体" w:eastAsia="黑体"/>
                <w:sz w:val="15"/>
                <w:szCs w:val="15"/>
              </w:rPr>
            </w:pPr>
            <w:r>
              <w:rPr>
                <w:rFonts w:hint="eastAsia" w:ascii="黑体" w:hAnsi="黑体" w:eastAsia="黑体"/>
                <w:sz w:val="15"/>
                <w:szCs w:val="15"/>
              </w:rPr>
              <w:t>废气治理（万元）</w:t>
            </w:r>
          </w:p>
        </w:tc>
        <w:tc>
          <w:tcPr>
            <w:tcW w:w="850" w:type="dxa"/>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1.2</w:t>
            </w:r>
          </w:p>
        </w:tc>
        <w:tc>
          <w:tcPr>
            <w:tcW w:w="1276" w:type="dxa"/>
            <w:gridSpan w:val="2"/>
          </w:tcPr>
          <w:p>
            <w:pPr>
              <w:spacing w:line="260" w:lineRule="exact"/>
              <w:rPr>
                <w:rFonts w:ascii="黑体" w:hAnsi="黑体" w:eastAsia="黑体"/>
                <w:sz w:val="15"/>
                <w:szCs w:val="15"/>
              </w:rPr>
            </w:pPr>
            <w:r>
              <w:rPr>
                <w:rFonts w:hint="eastAsia" w:ascii="黑体" w:hAnsi="黑体" w:eastAsia="黑体"/>
                <w:sz w:val="15"/>
                <w:szCs w:val="15"/>
              </w:rPr>
              <w:t>噪声治理</w:t>
            </w:r>
            <w:r>
              <w:rPr>
                <w:rFonts w:ascii="黑体" w:hAnsi="黑体" w:eastAsia="黑体"/>
                <w:sz w:val="15"/>
                <w:szCs w:val="15"/>
              </w:rPr>
              <w:t>(</w:t>
            </w:r>
            <w:r>
              <w:rPr>
                <w:rFonts w:hint="eastAsia" w:ascii="黑体" w:hAnsi="黑体" w:eastAsia="黑体"/>
                <w:sz w:val="15"/>
                <w:szCs w:val="15"/>
              </w:rPr>
              <w:t>万元</w:t>
            </w:r>
            <w:r>
              <w:rPr>
                <w:rFonts w:ascii="黑体" w:hAnsi="黑体" w:eastAsia="黑体"/>
                <w:sz w:val="15"/>
                <w:szCs w:val="15"/>
              </w:rPr>
              <w:t>)</w:t>
            </w:r>
          </w:p>
        </w:tc>
        <w:tc>
          <w:tcPr>
            <w:tcW w:w="567" w:type="dxa"/>
          </w:tcPr>
          <w:p>
            <w:pPr>
              <w:spacing w:line="260" w:lineRule="exact"/>
              <w:rPr>
                <w:rFonts w:ascii="黑体" w:hAnsi="黑体" w:eastAsia="黑体"/>
                <w:sz w:val="15"/>
                <w:szCs w:val="15"/>
              </w:rPr>
            </w:pP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固体废物治理（万元）</w:t>
            </w:r>
          </w:p>
        </w:tc>
        <w:tc>
          <w:tcPr>
            <w:tcW w:w="2558" w:type="dxa"/>
            <w:gridSpan w:val="2"/>
          </w:tcPr>
          <w:p>
            <w:pPr>
              <w:spacing w:line="260" w:lineRule="exact"/>
              <w:rPr>
                <w:rFonts w:ascii="黑体" w:hAnsi="黑体" w:eastAsia="黑体"/>
                <w:sz w:val="15"/>
                <w:szCs w:val="15"/>
              </w:rPr>
            </w:pPr>
            <w:r>
              <w:rPr>
                <w:rFonts w:ascii="黑体" w:hAnsi="黑体" w:eastAsia="黑体"/>
                <w:sz w:val="15"/>
                <w:szCs w:val="15"/>
              </w:rPr>
              <w:t>/</w:t>
            </w: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绿化及生态（万元</w:t>
            </w:r>
            <w:r>
              <w:rPr>
                <w:rFonts w:ascii="黑体" w:hAnsi="黑体" w:eastAsia="黑体"/>
                <w:sz w:val="15"/>
                <w:szCs w:val="15"/>
              </w:rPr>
              <w:t xml:space="preserve"> </w:t>
            </w:r>
            <w:r>
              <w:rPr>
                <w:rFonts w:hint="eastAsia" w:ascii="黑体" w:hAnsi="黑体" w:eastAsia="黑体"/>
                <w:sz w:val="15"/>
                <w:szCs w:val="15"/>
              </w:rPr>
              <w:t>）</w:t>
            </w:r>
          </w:p>
        </w:tc>
        <w:tc>
          <w:tcPr>
            <w:tcW w:w="857" w:type="dxa"/>
            <w:gridSpan w:val="3"/>
          </w:tcPr>
          <w:p>
            <w:pPr>
              <w:spacing w:line="260" w:lineRule="exact"/>
              <w:rPr>
                <w:rFonts w:ascii="黑体" w:hAnsi="黑体" w:eastAsia="黑体"/>
                <w:sz w:val="15"/>
                <w:szCs w:val="15"/>
              </w:rPr>
            </w:pPr>
          </w:p>
        </w:tc>
        <w:tc>
          <w:tcPr>
            <w:tcW w:w="966" w:type="dxa"/>
            <w:gridSpan w:val="2"/>
          </w:tcPr>
          <w:p>
            <w:pPr>
              <w:spacing w:line="260" w:lineRule="exact"/>
              <w:rPr>
                <w:rFonts w:ascii="黑体" w:hAnsi="黑体" w:eastAsia="黑体"/>
                <w:sz w:val="15"/>
                <w:szCs w:val="15"/>
              </w:rPr>
            </w:pPr>
            <w:r>
              <w:rPr>
                <w:rFonts w:hint="eastAsia" w:ascii="黑体" w:hAnsi="黑体" w:eastAsia="黑体"/>
                <w:sz w:val="15"/>
                <w:szCs w:val="15"/>
              </w:rPr>
              <w:t>其他（万元）</w:t>
            </w:r>
          </w:p>
        </w:tc>
        <w:tc>
          <w:tcPr>
            <w:tcW w:w="850" w:type="dxa"/>
          </w:tcPr>
          <w:p>
            <w:pPr>
              <w:spacing w:line="260" w:lineRule="exact"/>
              <w:rPr>
                <w:rFonts w:hint="eastAsia" w:ascii="黑体" w:hAnsi="黑体" w:eastAsia="黑体"/>
                <w:sz w:val="15"/>
                <w:szCs w:val="15"/>
                <w:lang w:val="en-US" w:eastAsia="zh-CN"/>
              </w:rPr>
            </w:pPr>
            <w:r>
              <w:rPr>
                <w:rFonts w:hint="eastAsia" w:ascii="黑体" w:hAnsi="黑体" w:eastAsia="黑体"/>
                <w:sz w:val="15"/>
                <w:szCs w:val="15"/>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1" w:type="dxa"/>
            <w:vMerge w:val="continue"/>
          </w:tcPr>
          <w:p>
            <w:pPr>
              <w:spacing w:line="260" w:lineRule="exact"/>
              <w:rPr>
                <w:rFonts w:ascii="黑体" w:hAnsi="黑体" w:eastAsia="黑体"/>
                <w:sz w:val="15"/>
                <w:szCs w:val="15"/>
              </w:rPr>
            </w:pPr>
          </w:p>
        </w:tc>
        <w:tc>
          <w:tcPr>
            <w:tcW w:w="1984" w:type="dxa"/>
            <w:gridSpan w:val="3"/>
          </w:tcPr>
          <w:p>
            <w:pPr>
              <w:spacing w:line="260" w:lineRule="exact"/>
              <w:rPr>
                <w:rFonts w:ascii="黑体" w:hAnsi="黑体" w:eastAsia="黑体"/>
                <w:sz w:val="15"/>
                <w:szCs w:val="15"/>
              </w:rPr>
            </w:pPr>
            <w:r>
              <w:rPr>
                <w:rFonts w:hint="eastAsia" w:ascii="黑体" w:hAnsi="黑体" w:eastAsia="黑体"/>
                <w:sz w:val="15"/>
                <w:szCs w:val="15"/>
              </w:rPr>
              <w:t>新增废水处理设施能力</w:t>
            </w:r>
          </w:p>
        </w:tc>
        <w:tc>
          <w:tcPr>
            <w:tcW w:w="4678" w:type="dxa"/>
            <w:gridSpan w:val="7"/>
          </w:tcPr>
          <w:p>
            <w:pPr>
              <w:spacing w:line="260" w:lineRule="exact"/>
              <w:rPr>
                <w:rFonts w:ascii="黑体" w:hAnsi="黑体" w:eastAsia="黑体"/>
                <w:sz w:val="15"/>
                <w:szCs w:val="15"/>
              </w:rPr>
            </w:pPr>
          </w:p>
        </w:tc>
        <w:tc>
          <w:tcPr>
            <w:tcW w:w="1843" w:type="dxa"/>
            <w:gridSpan w:val="3"/>
          </w:tcPr>
          <w:p>
            <w:pPr>
              <w:spacing w:line="260" w:lineRule="exact"/>
              <w:rPr>
                <w:rFonts w:ascii="黑体" w:hAnsi="黑体" w:eastAsia="黑体"/>
                <w:sz w:val="15"/>
                <w:szCs w:val="15"/>
              </w:rPr>
            </w:pPr>
            <w:r>
              <w:rPr>
                <w:rFonts w:hint="eastAsia" w:ascii="黑体" w:hAnsi="黑体" w:eastAsia="黑体"/>
                <w:sz w:val="15"/>
                <w:szCs w:val="15"/>
              </w:rPr>
              <w:t>新增废气处理设施能力</w:t>
            </w:r>
          </w:p>
        </w:tc>
        <w:tc>
          <w:tcPr>
            <w:tcW w:w="2558" w:type="dxa"/>
            <w:gridSpan w:val="2"/>
          </w:tcPr>
          <w:p>
            <w:pPr>
              <w:spacing w:line="260" w:lineRule="exact"/>
              <w:rPr>
                <w:rFonts w:ascii="黑体" w:hAnsi="黑体" w:eastAsia="黑体"/>
                <w:sz w:val="15"/>
                <w:szCs w:val="15"/>
              </w:rPr>
            </w:pPr>
            <w:r>
              <w:rPr>
                <w:rFonts w:ascii="黑体" w:hAnsi="黑体" w:eastAsia="黑体"/>
                <w:sz w:val="15"/>
                <w:szCs w:val="15"/>
              </w:rPr>
              <w:t>/</w:t>
            </w: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年平均工作时间</w:t>
            </w:r>
          </w:p>
        </w:tc>
        <w:tc>
          <w:tcPr>
            <w:tcW w:w="2673" w:type="dxa"/>
            <w:gridSpan w:val="6"/>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405" w:type="dxa"/>
            <w:gridSpan w:val="4"/>
          </w:tcPr>
          <w:p>
            <w:pPr>
              <w:spacing w:line="260" w:lineRule="exact"/>
              <w:jc w:val="center"/>
              <w:rPr>
                <w:rFonts w:ascii="黑体" w:hAnsi="黑体" w:eastAsia="黑体"/>
                <w:sz w:val="15"/>
                <w:szCs w:val="15"/>
              </w:rPr>
            </w:pPr>
            <w:r>
              <w:rPr>
                <w:rFonts w:hint="eastAsia" w:ascii="黑体" w:hAnsi="黑体" w:eastAsia="黑体"/>
                <w:sz w:val="15"/>
                <w:szCs w:val="15"/>
              </w:rPr>
              <w:t>运营单位</w:t>
            </w:r>
          </w:p>
        </w:tc>
        <w:tc>
          <w:tcPr>
            <w:tcW w:w="4111" w:type="dxa"/>
            <w:gridSpan w:val="6"/>
          </w:tcPr>
          <w:p>
            <w:pPr>
              <w:spacing w:line="260" w:lineRule="exact"/>
              <w:rPr>
                <w:rFonts w:ascii="黑体" w:hAnsi="黑体" w:eastAsia="黑体"/>
                <w:sz w:val="15"/>
                <w:szCs w:val="15"/>
              </w:rPr>
            </w:pPr>
            <w:r>
              <w:rPr>
                <w:rFonts w:hint="eastAsia" w:ascii="黑体" w:hAnsi="黑体" w:eastAsia="黑体"/>
                <w:sz w:val="15"/>
                <w:szCs w:val="15"/>
              </w:rPr>
              <w:t>唐山正元管业有限公司</w:t>
            </w:r>
          </w:p>
        </w:tc>
        <w:tc>
          <w:tcPr>
            <w:tcW w:w="3402" w:type="dxa"/>
            <w:gridSpan w:val="5"/>
          </w:tcPr>
          <w:p>
            <w:pPr>
              <w:spacing w:line="260" w:lineRule="exact"/>
              <w:rPr>
                <w:rFonts w:ascii="黑体" w:hAnsi="黑体" w:eastAsia="黑体"/>
                <w:sz w:val="15"/>
                <w:szCs w:val="15"/>
              </w:rPr>
            </w:pPr>
            <w:r>
              <w:rPr>
                <w:rFonts w:hint="eastAsia" w:ascii="黑体" w:hAnsi="黑体" w:eastAsia="黑体"/>
                <w:sz w:val="15"/>
                <w:szCs w:val="15"/>
              </w:rPr>
              <w:t>运营单位社会统</w:t>
            </w:r>
            <w:r>
              <w:rPr>
                <w:rFonts w:hint="eastAsia" w:ascii="黑体" w:hAnsi="黑体" w:eastAsia="黑体"/>
                <w:sz w:val="15"/>
                <w:szCs w:val="15"/>
                <w:lang w:eastAsia="zh-CN"/>
              </w:rPr>
              <w:t>一</w:t>
            </w:r>
            <w:r>
              <w:rPr>
                <w:rFonts w:hint="eastAsia" w:ascii="黑体" w:hAnsi="黑体" w:eastAsia="黑体"/>
                <w:sz w:val="15"/>
                <w:szCs w:val="15"/>
              </w:rPr>
              <w:t>信用代码</w:t>
            </w:r>
            <w:r>
              <w:rPr>
                <w:rFonts w:ascii="黑体" w:hAnsi="黑体" w:eastAsia="黑体"/>
                <w:sz w:val="15"/>
                <w:szCs w:val="15"/>
              </w:rPr>
              <w:t>(</w:t>
            </w:r>
            <w:r>
              <w:rPr>
                <w:rFonts w:hint="eastAsia" w:ascii="黑体" w:hAnsi="黑体" w:eastAsia="黑体"/>
                <w:sz w:val="15"/>
                <w:szCs w:val="15"/>
              </w:rPr>
              <w:t>或组织机构代码</w:t>
            </w:r>
            <w:r>
              <w:rPr>
                <w:rFonts w:ascii="黑体" w:hAnsi="黑体" w:eastAsia="黑体"/>
                <w:sz w:val="15"/>
                <w:szCs w:val="15"/>
              </w:rPr>
              <w:t>)</w:t>
            </w:r>
          </w:p>
        </w:tc>
        <w:tc>
          <w:tcPr>
            <w:tcW w:w="1566" w:type="dxa"/>
          </w:tcPr>
          <w:p>
            <w:pPr>
              <w:spacing w:line="260" w:lineRule="exact"/>
              <w:rPr>
                <w:rFonts w:ascii="黑体" w:hAnsi="黑体" w:eastAsia="黑体"/>
                <w:sz w:val="15"/>
                <w:szCs w:val="15"/>
              </w:rPr>
            </w:pPr>
            <w:r>
              <w:rPr>
                <w:rFonts w:hint="eastAsia" w:ascii="黑体" w:hAnsi="黑体" w:eastAsia="黑体"/>
                <w:sz w:val="15"/>
                <w:szCs w:val="15"/>
              </w:rPr>
              <w:t>91130282695862458M</w:t>
            </w:r>
          </w:p>
        </w:tc>
        <w:tc>
          <w:tcPr>
            <w:tcW w:w="1695" w:type="dxa"/>
            <w:gridSpan w:val="2"/>
          </w:tcPr>
          <w:p>
            <w:pPr>
              <w:spacing w:line="260" w:lineRule="exact"/>
              <w:rPr>
                <w:rFonts w:ascii="黑体" w:hAnsi="黑体" w:eastAsia="黑体"/>
                <w:sz w:val="15"/>
                <w:szCs w:val="15"/>
              </w:rPr>
            </w:pPr>
            <w:r>
              <w:rPr>
                <w:rFonts w:hint="eastAsia" w:ascii="黑体" w:hAnsi="黑体" w:eastAsia="黑体"/>
                <w:sz w:val="15"/>
                <w:szCs w:val="15"/>
              </w:rPr>
              <w:t>验收时间</w:t>
            </w:r>
          </w:p>
        </w:tc>
        <w:tc>
          <w:tcPr>
            <w:tcW w:w="2673" w:type="dxa"/>
            <w:gridSpan w:val="6"/>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gridSpan w:val="2"/>
            <w:vMerge w:val="restart"/>
          </w:tcPr>
          <w:p>
            <w:pPr>
              <w:spacing w:line="260" w:lineRule="exact"/>
              <w:rPr>
                <w:rFonts w:ascii="黑体" w:hAnsi="黑体" w:eastAsia="黑体"/>
                <w:sz w:val="15"/>
                <w:szCs w:val="15"/>
              </w:rPr>
            </w:pPr>
          </w:p>
          <w:p>
            <w:pPr>
              <w:spacing w:line="260" w:lineRule="exact"/>
              <w:rPr>
                <w:rFonts w:ascii="黑体" w:hAnsi="黑体" w:eastAsia="黑体"/>
                <w:sz w:val="15"/>
                <w:szCs w:val="15"/>
              </w:rPr>
            </w:pPr>
          </w:p>
          <w:p>
            <w:pPr>
              <w:spacing w:line="260" w:lineRule="exact"/>
              <w:rPr>
                <w:rFonts w:ascii="黑体" w:hAnsi="黑体" w:eastAsia="黑体"/>
                <w:sz w:val="15"/>
                <w:szCs w:val="15"/>
              </w:rPr>
            </w:pPr>
            <w:r>
              <w:rPr>
                <w:rFonts w:hint="eastAsia" w:ascii="黑体" w:hAnsi="黑体" w:eastAsia="黑体"/>
                <w:sz w:val="15"/>
                <w:szCs w:val="15"/>
              </w:rPr>
              <w:t>污染物排放达标与总量控制（工业建设项目详填）</w:t>
            </w:r>
          </w:p>
        </w:tc>
        <w:tc>
          <w:tcPr>
            <w:tcW w:w="1843" w:type="dxa"/>
            <w:gridSpan w:val="2"/>
          </w:tcPr>
          <w:p>
            <w:pPr>
              <w:spacing w:line="260" w:lineRule="exact"/>
              <w:rPr>
                <w:rFonts w:ascii="黑体" w:hAnsi="黑体" w:eastAsia="黑体"/>
                <w:sz w:val="15"/>
                <w:szCs w:val="15"/>
              </w:rPr>
            </w:pPr>
            <w:r>
              <w:rPr>
                <w:rFonts w:hint="eastAsia" w:ascii="黑体" w:hAnsi="黑体" w:eastAsia="黑体"/>
                <w:sz w:val="15"/>
                <w:szCs w:val="15"/>
              </w:rPr>
              <w:t>污染物</w:t>
            </w:r>
          </w:p>
        </w:tc>
        <w:tc>
          <w:tcPr>
            <w:tcW w:w="851" w:type="dxa"/>
            <w:gridSpan w:val="2"/>
          </w:tcPr>
          <w:p>
            <w:pPr>
              <w:spacing w:line="260" w:lineRule="exact"/>
              <w:rPr>
                <w:rFonts w:ascii="黑体" w:hAnsi="黑体" w:eastAsia="黑体"/>
                <w:sz w:val="15"/>
                <w:szCs w:val="15"/>
              </w:rPr>
            </w:pPr>
            <w:r>
              <w:rPr>
                <w:rFonts w:hint="eastAsia" w:ascii="黑体" w:hAnsi="黑体" w:eastAsia="黑体"/>
                <w:sz w:val="15"/>
                <w:szCs w:val="15"/>
              </w:rPr>
              <w:t>原有排放量</w:t>
            </w:r>
            <w:r>
              <w:rPr>
                <w:rFonts w:ascii="黑体" w:hAnsi="黑体" w:eastAsia="黑体"/>
                <w:sz w:val="15"/>
                <w:szCs w:val="15"/>
              </w:rPr>
              <w:t>(1)</w:t>
            </w:r>
          </w:p>
        </w:tc>
        <w:tc>
          <w:tcPr>
            <w:tcW w:w="1134" w:type="dxa"/>
          </w:tcPr>
          <w:p>
            <w:pPr>
              <w:spacing w:line="260" w:lineRule="exact"/>
              <w:rPr>
                <w:rFonts w:ascii="黑体" w:hAnsi="黑体" w:eastAsia="黑体"/>
                <w:sz w:val="15"/>
                <w:szCs w:val="15"/>
              </w:rPr>
            </w:pPr>
            <w:r>
              <w:rPr>
                <w:rFonts w:hint="eastAsia" w:ascii="黑体" w:hAnsi="黑体" w:eastAsia="黑体"/>
                <w:sz w:val="15"/>
                <w:szCs w:val="15"/>
              </w:rPr>
              <w:t>本期工程实际排放浓度</w:t>
            </w:r>
            <w:r>
              <w:rPr>
                <w:rFonts w:ascii="黑体" w:hAnsi="黑体" w:eastAsia="黑体"/>
                <w:sz w:val="15"/>
                <w:szCs w:val="15"/>
              </w:rPr>
              <w:t>(2)</w:t>
            </w:r>
          </w:p>
        </w:tc>
        <w:tc>
          <w:tcPr>
            <w:tcW w:w="1134" w:type="dxa"/>
            <w:gridSpan w:val="2"/>
          </w:tcPr>
          <w:p>
            <w:pPr>
              <w:spacing w:line="260" w:lineRule="exact"/>
              <w:rPr>
                <w:rFonts w:ascii="黑体" w:hAnsi="黑体" w:eastAsia="黑体"/>
                <w:sz w:val="15"/>
                <w:szCs w:val="15"/>
              </w:rPr>
            </w:pPr>
            <w:r>
              <w:rPr>
                <w:rFonts w:hint="eastAsia" w:ascii="黑体" w:hAnsi="黑体" w:eastAsia="黑体"/>
                <w:sz w:val="15"/>
                <w:szCs w:val="15"/>
              </w:rPr>
              <w:t>本期工程允许排放浓度</w:t>
            </w:r>
            <w:r>
              <w:rPr>
                <w:rFonts w:ascii="黑体" w:hAnsi="黑体" w:eastAsia="黑体"/>
                <w:sz w:val="15"/>
                <w:szCs w:val="15"/>
              </w:rPr>
              <w:t>(3)</w:t>
            </w:r>
          </w:p>
        </w:tc>
        <w:tc>
          <w:tcPr>
            <w:tcW w:w="992" w:type="dxa"/>
          </w:tcPr>
          <w:p>
            <w:pPr>
              <w:spacing w:line="260" w:lineRule="exact"/>
              <w:rPr>
                <w:rFonts w:ascii="黑体" w:hAnsi="黑体" w:eastAsia="黑体"/>
                <w:sz w:val="15"/>
                <w:szCs w:val="15"/>
              </w:rPr>
            </w:pPr>
            <w:r>
              <w:rPr>
                <w:rFonts w:hint="eastAsia" w:ascii="黑体" w:hAnsi="黑体" w:eastAsia="黑体"/>
                <w:sz w:val="15"/>
                <w:szCs w:val="15"/>
              </w:rPr>
              <w:t>本期工程产生量</w:t>
            </w:r>
            <w:r>
              <w:rPr>
                <w:rFonts w:ascii="黑体" w:hAnsi="黑体" w:eastAsia="黑体"/>
                <w:sz w:val="15"/>
                <w:szCs w:val="15"/>
              </w:rPr>
              <w:t>(4)</w:t>
            </w:r>
          </w:p>
        </w:tc>
        <w:tc>
          <w:tcPr>
            <w:tcW w:w="1134" w:type="dxa"/>
            <w:gridSpan w:val="2"/>
          </w:tcPr>
          <w:p>
            <w:pPr>
              <w:spacing w:line="260" w:lineRule="exact"/>
              <w:rPr>
                <w:rFonts w:ascii="黑体" w:hAnsi="黑体" w:eastAsia="黑体"/>
                <w:sz w:val="15"/>
                <w:szCs w:val="15"/>
              </w:rPr>
            </w:pPr>
            <w:r>
              <w:rPr>
                <w:rFonts w:hint="eastAsia" w:ascii="黑体" w:hAnsi="黑体" w:eastAsia="黑体"/>
                <w:sz w:val="15"/>
                <w:szCs w:val="15"/>
              </w:rPr>
              <w:t>本期工程自身削减量</w:t>
            </w:r>
            <w:r>
              <w:rPr>
                <w:rFonts w:ascii="黑体" w:hAnsi="黑体" w:eastAsia="黑体"/>
                <w:sz w:val="15"/>
                <w:szCs w:val="15"/>
              </w:rPr>
              <w:t>(5)</w:t>
            </w:r>
          </w:p>
        </w:tc>
        <w:tc>
          <w:tcPr>
            <w:tcW w:w="1134" w:type="dxa"/>
          </w:tcPr>
          <w:p>
            <w:pPr>
              <w:spacing w:line="260" w:lineRule="exact"/>
              <w:rPr>
                <w:rFonts w:ascii="黑体" w:hAnsi="黑体" w:eastAsia="黑体"/>
                <w:sz w:val="15"/>
                <w:szCs w:val="15"/>
              </w:rPr>
            </w:pPr>
            <w:r>
              <w:rPr>
                <w:rFonts w:hint="eastAsia" w:ascii="黑体" w:hAnsi="黑体" w:eastAsia="黑体"/>
                <w:sz w:val="15"/>
                <w:szCs w:val="15"/>
              </w:rPr>
              <w:t>本期工程实际排放量</w:t>
            </w:r>
            <w:r>
              <w:rPr>
                <w:rFonts w:ascii="黑体" w:hAnsi="黑体" w:eastAsia="黑体"/>
                <w:sz w:val="15"/>
                <w:szCs w:val="15"/>
              </w:rPr>
              <w:t>(6)</w:t>
            </w:r>
          </w:p>
        </w:tc>
        <w:tc>
          <w:tcPr>
            <w:tcW w:w="1134" w:type="dxa"/>
            <w:gridSpan w:val="2"/>
          </w:tcPr>
          <w:p>
            <w:pPr>
              <w:spacing w:line="260" w:lineRule="exact"/>
              <w:rPr>
                <w:rFonts w:ascii="黑体" w:hAnsi="黑体" w:eastAsia="黑体"/>
                <w:sz w:val="15"/>
                <w:szCs w:val="15"/>
              </w:rPr>
            </w:pPr>
            <w:r>
              <w:rPr>
                <w:rFonts w:hint="eastAsia" w:ascii="黑体" w:hAnsi="黑体" w:eastAsia="黑体"/>
                <w:sz w:val="15"/>
                <w:szCs w:val="15"/>
              </w:rPr>
              <w:t>本期工程核定排放总量</w:t>
            </w:r>
            <w:r>
              <w:rPr>
                <w:rFonts w:ascii="黑体" w:hAnsi="黑体" w:eastAsia="黑体"/>
                <w:sz w:val="15"/>
                <w:szCs w:val="15"/>
              </w:rPr>
              <w:t>(7)</w:t>
            </w:r>
          </w:p>
        </w:tc>
        <w:tc>
          <w:tcPr>
            <w:tcW w:w="1566" w:type="dxa"/>
          </w:tcPr>
          <w:p>
            <w:pPr>
              <w:spacing w:line="260" w:lineRule="exact"/>
              <w:rPr>
                <w:rFonts w:ascii="黑体" w:hAnsi="黑体" w:eastAsia="黑体"/>
                <w:sz w:val="15"/>
                <w:szCs w:val="15"/>
              </w:rPr>
            </w:pPr>
            <w:r>
              <w:rPr>
                <w:rFonts w:hint="eastAsia" w:ascii="黑体" w:hAnsi="黑体" w:eastAsia="黑体"/>
                <w:sz w:val="15"/>
                <w:szCs w:val="15"/>
              </w:rPr>
              <w:t>本期工程“以新带老”削减量</w:t>
            </w:r>
            <w:r>
              <w:rPr>
                <w:rFonts w:ascii="黑体" w:hAnsi="黑体" w:eastAsia="黑体"/>
                <w:sz w:val="15"/>
                <w:szCs w:val="15"/>
              </w:rPr>
              <w:t>(8)</w:t>
            </w:r>
          </w:p>
        </w:tc>
        <w:tc>
          <w:tcPr>
            <w:tcW w:w="1079" w:type="dxa"/>
          </w:tcPr>
          <w:p>
            <w:pPr>
              <w:spacing w:line="260" w:lineRule="exact"/>
              <w:rPr>
                <w:rFonts w:ascii="黑体" w:hAnsi="黑体" w:eastAsia="黑体"/>
                <w:sz w:val="15"/>
                <w:szCs w:val="15"/>
              </w:rPr>
            </w:pPr>
            <w:r>
              <w:rPr>
                <w:rFonts w:hint="eastAsia" w:ascii="黑体" w:hAnsi="黑体" w:eastAsia="黑体"/>
                <w:sz w:val="15"/>
                <w:szCs w:val="15"/>
              </w:rPr>
              <w:t>全厂实际排放总量</w:t>
            </w:r>
            <w:r>
              <w:rPr>
                <w:rFonts w:ascii="黑体" w:hAnsi="黑体" w:eastAsia="黑体"/>
                <w:sz w:val="15"/>
                <w:szCs w:val="15"/>
              </w:rPr>
              <w:t>(9)</w:t>
            </w:r>
          </w:p>
        </w:tc>
        <w:tc>
          <w:tcPr>
            <w:tcW w:w="993" w:type="dxa"/>
            <w:gridSpan w:val="3"/>
          </w:tcPr>
          <w:p>
            <w:pPr>
              <w:spacing w:line="260" w:lineRule="exact"/>
              <w:rPr>
                <w:rFonts w:ascii="黑体" w:hAnsi="黑体" w:eastAsia="黑体"/>
                <w:sz w:val="15"/>
                <w:szCs w:val="15"/>
              </w:rPr>
            </w:pPr>
            <w:r>
              <w:rPr>
                <w:rFonts w:hint="eastAsia" w:ascii="黑体" w:hAnsi="黑体" w:eastAsia="黑体"/>
                <w:sz w:val="15"/>
                <w:szCs w:val="15"/>
              </w:rPr>
              <w:t>全厂核定排放总量</w:t>
            </w:r>
            <w:r>
              <w:rPr>
                <w:rFonts w:ascii="黑体" w:hAnsi="黑体" w:eastAsia="黑体"/>
                <w:sz w:val="15"/>
                <w:szCs w:val="15"/>
              </w:rPr>
              <w:t>(10)</w:t>
            </w:r>
          </w:p>
        </w:tc>
        <w:tc>
          <w:tcPr>
            <w:tcW w:w="1189" w:type="dxa"/>
            <w:gridSpan w:val="2"/>
          </w:tcPr>
          <w:p>
            <w:pPr>
              <w:spacing w:line="260" w:lineRule="exact"/>
              <w:rPr>
                <w:rFonts w:ascii="黑体" w:hAnsi="黑体" w:eastAsia="黑体"/>
                <w:sz w:val="15"/>
                <w:szCs w:val="15"/>
              </w:rPr>
            </w:pPr>
            <w:r>
              <w:rPr>
                <w:rFonts w:hint="eastAsia" w:ascii="黑体" w:hAnsi="黑体" w:eastAsia="黑体"/>
                <w:sz w:val="15"/>
                <w:szCs w:val="15"/>
              </w:rPr>
              <w:t>区域平衡替代削减量</w:t>
            </w:r>
            <w:r>
              <w:rPr>
                <w:rFonts w:ascii="黑体" w:hAnsi="黑体" w:eastAsia="黑体"/>
                <w:sz w:val="15"/>
                <w:szCs w:val="15"/>
              </w:rPr>
              <w:t>(11)</w:t>
            </w:r>
          </w:p>
        </w:tc>
        <w:tc>
          <w:tcPr>
            <w:tcW w:w="1107" w:type="dxa"/>
            <w:gridSpan w:val="2"/>
          </w:tcPr>
          <w:p>
            <w:pPr>
              <w:spacing w:line="260" w:lineRule="exact"/>
              <w:rPr>
                <w:rFonts w:ascii="黑体" w:hAnsi="黑体" w:eastAsia="黑体"/>
                <w:sz w:val="15"/>
                <w:szCs w:val="15"/>
              </w:rPr>
            </w:pPr>
            <w:r>
              <w:rPr>
                <w:rFonts w:hint="eastAsia" w:ascii="黑体" w:hAnsi="黑体" w:eastAsia="黑体"/>
                <w:sz w:val="15"/>
                <w:szCs w:val="15"/>
              </w:rPr>
              <w:t>排放增减量</w:t>
            </w:r>
            <w:r>
              <w:rPr>
                <w:rFonts w:ascii="黑体" w:hAnsi="黑体" w:eastAsia="黑体"/>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vAlign w:val="center"/>
          </w:tcPr>
          <w:p>
            <w:pPr>
              <w:spacing w:line="260" w:lineRule="exact"/>
              <w:jc w:val="center"/>
              <w:rPr>
                <w:rFonts w:ascii="黑体" w:hAnsi="黑体" w:eastAsia="黑体"/>
                <w:sz w:val="15"/>
                <w:szCs w:val="15"/>
              </w:rPr>
            </w:pPr>
            <w:r>
              <w:rPr>
                <w:rFonts w:hint="eastAsia" w:ascii="黑体" w:hAnsi="黑体" w:eastAsia="黑体"/>
                <w:sz w:val="15"/>
                <w:szCs w:val="15"/>
              </w:rPr>
              <w:t>排气量</w:t>
            </w:r>
          </w:p>
        </w:tc>
        <w:tc>
          <w:tcPr>
            <w:tcW w:w="851" w:type="dxa"/>
            <w:gridSpan w:val="2"/>
            <w:vAlign w:val="center"/>
          </w:tcPr>
          <w:p>
            <w:pPr>
              <w:pStyle w:val="121"/>
              <w:spacing w:line="240" w:lineRule="exact"/>
              <w:ind w:left="-107" w:leftChars="-51" w:right="-101" w:rightChars="-48" w:firstLine="0" w:firstLineChars="0"/>
              <w:jc w:val="center"/>
              <w:rPr>
                <w:rFonts w:ascii="黑体" w:hAnsi="黑体" w:eastAsia="黑体"/>
                <w:sz w:val="15"/>
                <w:szCs w:val="15"/>
              </w:rPr>
            </w:pPr>
          </w:p>
        </w:tc>
        <w:tc>
          <w:tcPr>
            <w:tcW w:w="1134" w:type="dxa"/>
            <w:vAlign w:val="center"/>
          </w:tcPr>
          <w:p>
            <w:pPr>
              <w:pStyle w:val="121"/>
              <w:spacing w:line="240" w:lineRule="exact"/>
              <w:ind w:left="-107" w:leftChars="-51" w:right="-101" w:rightChars="-48" w:firstLine="0" w:firstLineChars="0"/>
              <w:jc w:val="center"/>
              <w:rPr>
                <w:rFonts w:ascii="黑体" w:hAnsi="黑体" w:eastAsia="黑体"/>
                <w:sz w:val="15"/>
                <w:szCs w:val="15"/>
              </w:rPr>
            </w:pPr>
          </w:p>
        </w:tc>
        <w:tc>
          <w:tcPr>
            <w:tcW w:w="1134" w:type="dxa"/>
            <w:gridSpan w:val="2"/>
            <w:vAlign w:val="center"/>
          </w:tcPr>
          <w:p>
            <w:pPr>
              <w:pStyle w:val="121"/>
              <w:spacing w:line="240" w:lineRule="exact"/>
              <w:ind w:left="-107" w:leftChars="-51" w:right="-101" w:rightChars="-48" w:firstLine="0" w:firstLineChars="0"/>
              <w:jc w:val="center"/>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vAlign w:val="center"/>
          </w:tcPr>
          <w:p>
            <w:pPr>
              <w:spacing w:line="260" w:lineRule="exact"/>
              <w:jc w:val="center"/>
              <w:rPr>
                <w:rFonts w:ascii="黑体" w:hAnsi="黑体" w:eastAsia="黑体"/>
                <w:sz w:val="15"/>
                <w:szCs w:val="15"/>
              </w:rPr>
            </w:pPr>
            <w:r>
              <w:rPr>
                <w:rFonts w:hint="eastAsia" w:ascii="黑体" w:hAnsi="黑体" w:eastAsia="黑体"/>
                <w:sz w:val="15"/>
                <w:szCs w:val="15"/>
              </w:rPr>
              <w:t>颗粒物</w:t>
            </w:r>
          </w:p>
        </w:tc>
        <w:tc>
          <w:tcPr>
            <w:tcW w:w="851" w:type="dxa"/>
            <w:gridSpan w:val="2"/>
            <w:vAlign w:val="center"/>
          </w:tcPr>
          <w:p>
            <w:pPr>
              <w:pStyle w:val="121"/>
              <w:spacing w:line="240" w:lineRule="exact"/>
              <w:ind w:left="-107" w:leftChars="-51" w:right="-101" w:rightChars="-48" w:firstLine="0" w:firstLineChars="0"/>
              <w:jc w:val="center"/>
              <w:rPr>
                <w:rFonts w:ascii="黑体" w:hAnsi="黑体" w:eastAsia="黑体"/>
                <w:sz w:val="15"/>
                <w:szCs w:val="15"/>
              </w:rPr>
            </w:pPr>
          </w:p>
        </w:tc>
        <w:tc>
          <w:tcPr>
            <w:tcW w:w="1134" w:type="dxa"/>
            <w:vAlign w:val="center"/>
          </w:tcPr>
          <w:p>
            <w:pPr>
              <w:spacing w:line="260" w:lineRule="exact"/>
              <w:jc w:val="center"/>
              <w:rPr>
                <w:rFonts w:ascii="黑体" w:hAnsi="黑体" w:eastAsia="黑体"/>
                <w:sz w:val="15"/>
                <w:szCs w:val="15"/>
              </w:rPr>
            </w:pPr>
          </w:p>
        </w:tc>
        <w:tc>
          <w:tcPr>
            <w:tcW w:w="1134" w:type="dxa"/>
            <w:gridSpan w:val="2"/>
            <w:vAlign w:val="center"/>
          </w:tcPr>
          <w:p>
            <w:pPr>
              <w:pStyle w:val="121"/>
              <w:spacing w:line="240" w:lineRule="exact"/>
              <w:ind w:left="-107" w:leftChars="-51" w:right="-101" w:rightChars="-48" w:firstLine="0" w:firstLineChars="0"/>
              <w:jc w:val="center"/>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vAlign w:val="center"/>
          </w:tcPr>
          <w:p>
            <w:pPr>
              <w:spacing w:line="260" w:lineRule="exact"/>
              <w:jc w:val="center"/>
              <w:rPr>
                <w:rFonts w:ascii="黑体" w:hAnsi="黑体" w:eastAsia="黑体"/>
                <w:sz w:val="15"/>
                <w:szCs w:val="15"/>
              </w:rPr>
            </w:pPr>
            <w:r>
              <w:rPr>
                <w:rFonts w:hint="eastAsia" w:ascii="黑体" w:hAnsi="黑体" w:eastAsia="黑体"/>
                <w:sz w:val="15"/>
                <w:szCs w:val="15"/>
              </w:rPr>
              <w:t>排水量</w:t>
            </w:r>
          </w:p>
        </w:tc>
        <w:tc>
          <w:tcPr>
            <w:tcW w:w="851" w:type="dxa"/>
            <w:gridSpan w:val="2"/>
            <w:vAlign w:val="center"/>
          </w:tcPr>
          <w:p>
            <w:pPr>
              <w:pStyle w:val="121"/>
              <w:spacing w:line="240" w:lineRule="exact"/>
              <w:ind w:left="-107" w:leftChars="-51" w:right="-67" w:rightChars="-32" w:firstLine="0" w:firstLineChars="0"/>
              <w:jc w:val="center"/>
              <w:rPr>
                <w:rFonts w:ascii="黑体" w:hAnsi="黑体" w:eastAsia="黑体"/>
                <w:sz w:val="15"/>
                <w:szCs w:val="15"/>
              </w:rPr>
            </w:pPr>
          </w:p>
        </w:tc>
        <w:tc>
          <w:tcPr>
            <w:tcW w:w="1134" w:type="dxa"/>
            <w:vAlign w:val="center"/>
          </w:tcPr>
          <w:p>
            <w:pPr>
              <w:spacing w:line="260" w:lineRule="exact"/>
              <w:jc w:val="center"/>
              <w:rPr>
                <w:rFonts w:ascii="黑体" w:hAnsi="黑体" w:eastAsia="黑体"/>
                <w:sz w:val="15"/>
                <w:szCs w:val="15"/>
              </w:rPr>
            </w:pPr>
          </w:p>
        </w:tc>
        <w:tc>
          <w:tcPr>
            <w:tcW w:w="1134" w:type="dxa"/>
            <w:gridSpan w:val="2"/>
            <w:vAlign w:val="center"/>
          </w:tcPr>
          <w:p>
            <w:pPr>
              <w:pStyle w:val="121"/>
              <w:spacing w:line="240" w:lineRule="exact"/>
              <w:ind w:left="-107" w:leftChars="-51" w:right="-67" w:rightChars="-32" w:firstLine="0" w:firstLineChars="0"/>
              <w:jc w:val="center"/>
              <w:rPr>
                <w:rFonts w:ascii="黑体" w:hAnsi="黑体" w:eastAsia="黑体"/>
                <w:sz w:val="15"/>
                <w:szCs w:val="15"/>
              </w:rPr>
            </w:pPr>
          </w:p>
        </w:tc>
        <w:tc>
          <w:tcPr>
            <w:tcW w:w="992" w:type="dxa"/>
          </w:tcPr>
          <w:p>
            <w:pPr>
              <w:spacing w:line="260" w:lineRule="exact"/>
              <w:rPr>
                <w:rFonts w:hint="eastAsia" w:ascii="黑体" w:hAnsi="黑体" w:eastAsia="黑体"/>
                <w:sz w:val="15"/>
                <w:szCs w:val="15"/>
                <w:lang w:val="en-US" w:eastAsia="zh-CN"/>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hint="eastAsia" w:ascii="黑体" w:hAnsi="黑体" w:eastAsia="黑体"/>
                <w:sz w:val="15"/>
                <w:szCs w:val="15"/>
                <w:lang w:val="en-US" w:eastAsia="zh-CN"/>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vAlign w:val="center"/>
          </w:tcPr>
          <w:p>
            <w:pPr>
              <w:spacing w:line="260" w:lineRule="exact"/>
              <w:jc w:val="center"/>
              <w:rPr>
                <w:rFonts w:ascii="黑体" w:hAnsi="黑体" w:eastAsia="黑体"/>
                <w:sz w:val="15"/>
                <w:szCs w:val="15"/>
              </w:rPr>
            </w:pPr>
            <w:r>
              <w:rPr>
                <w:rFonts w:ascii="黑体" w:hAnsi="黑体" w:eastAsia="黑体"/>
                <w:sz w:val="15"/>
                <w:szCs w:val="15"/>
              </w:rPr>
              <w:t>COD</w:t>
            </w:r>
          </w:p>
        </w:tc>
        <w:tc>
          <w:tcPr>
            <w:tcW w:w="851" w:type="dxa"/>
            <w:gridSpan w:val="2"/>
            <w:vAlign w:val="center"/>
          </w:tcPr>
          <w:p>
            <w:pPr>
              <w:pStyle w:val="121"/>
              <w:spacing w:line="240" w:lineRule="exact"/>
              <w:ind w:left="-107" w:leftChars="-51" w:right="-67" w:rightChars="-32" w:firstLine="0" w:firstLineChars="0"/>
              <w:jc w:val="center"/>
              <w:rPr>
                <w:rFonts w:ascii="黑体" w:hAnsi="黑体" w:eastAsia="黑体"/>
                <w:sz w:val="15"/>
                <w:szCs w:val="15"/>
              </w:rPr>
            </w:pPr>
          </w:p>
        </w:tc>
        <w:tc>
          <w:tcPr>
            <w:tcW w:w="1134" w:type="dxa"/>
            <w:vAlign w:val="center"/>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46</w:t>
            </w:r>
          </w:p>
        </w:tc>
        <w:tc>
          <w:tcPr>
            <w:tcW w:w="1134" w:type="dxa"/>
            <w:gridSpan w:val="2"/>
            <w:vAlign w:val="center"/>
          </w:tcPr>
          <w:p>
            <w:pPr>
              <w:pStyle w:val="121"/>
              <w:spacing w:line="240" w:lineRule="exact"/>
              <w:ind w:left="-107" w:leftChars="-51" w:right="-67" w:rightChars="-32" w:firstLine="0" w:firstLineChars="0"/>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200</w:t>
            </w:r>
          </w:p>
        </w:tc>
        <w:tc>
          <w:tcPr>
            <w:tcW w:w="992" w:type="dxa"/>
          </w:tcPr>
          <w:p>
            <w:pPr>
              <w:spacing w:line="260" w:lineRule="exact"/>
              <w:rPr>
                <w:rFonts w:hint="eastAsia" w:ascii="黑体" w:hAnsi="黑体" w:eastAsia="黑体"/>
                <w:sz w:val="15"/>
                <w:szCs w:val="15"/>
                <w:lang w:val="en-US" w:eastAsia="zh-CN"/>
              </w:rPr>
            </w:pPr>
          </w:p>
        </w:tc>
        <w:tc>
          <w:tcPr>
            <w:tcW w:w="1134" w:type="dxa"/>
            <w:gridSpan w:val="2"/>
          </w:tcPr>
          <w:p>
            <w:pPr>
              <w:spacing w:line="260" w:lineRule="exact"/>
              <w:rPr>
                <w:rFonts w:ascii="黑体" w:hAnsi="黑体" w:eastAsia="黑体"/>
                <w:sz w:val="15"/>
                <w:szCs w:val="15"/>
              </w:rPr>
            </w:pPr>
          </w:p>
        </w:tc>
        <w:tc>
          <w:tcPr>
            <w:tcW w:w="1134" w:type="dxa"/>
            <w:vAlign w:val="top"/>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color w:val="FF0000"/>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vAlign w:val="center"/>
          </w:tcPr>
          <w:p>
            <w:pPr>
              <w:spacing w:line="260" w:lineRule="exact"/>
              <w:jc w:val="center"/>
              <w:rPr>
                <w:rFonts w:ascii="黑体" w:hAnsi="黑体" w:eastAsia="黑体"/>
                <w:sz w:val="15"/>
                <w:szCs w:val="15"/>
              </w:rPr>
            </w:pPr>
            <w:r>
              <w:rPr>
                <w:rFonts w:hint="eastAsia" w:ascii="黑体" w:hAnsi="黑体" w:eastAsia="黑体"/>
                <w:sz w:val="15"/>
                <w:szCs w:val="15"/>
              </w:rPr>
              <w:t>氨氮</w:t>
            </w:r>
          </w:p>
        </w:tc>
        <w:tc>
          <w:tcPr>
            <w:tcW w:w="851" w:type="dxa"/>
            <w:gridSpan w:val="2"/>
            <w:vAlign w:val="center"/>
          </w:tcPr>
          <w:p>
            <w:pPr>
              <w:pStyle w:val="121"/>
              <w:spacing w:line="240" w:lineRule="exact"/>
              <w:ind w:left="-107" w:leftChars="-51" w:right="-67" w:rightChars="-32" w:firstLine="0" w:firstLineChars="0"/>
              <w:jc w:val="center"/>
              <w:rPr>
                <w:rFonts w:ascii="黑体" w:hAnsi="黑体" w:eastAsia="黑体"/>
                <w:sz w:val="15"/>
                <w:szCs w:val="15"/>
              </w:rPr>
            </w:pPr>
          </w:p>
        </w:tc>
        <w:tc>
          <w:tcPr>
            <w:tcW w:w="1134" w:type="dxa"/>
            <w:vAlign w:val="center"/>
          </w:tcPr>
          <w:p>
            <w:pPr>
              <w:spacing w:line="260" w:lineRule="exact"/>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4.28</w:t>
            </w:r>
          </w:p>
        </w:tc>
        <w:tc>
          <w:tcPr>
            <w:tcW w:w="1134" w:type="dxa"/>
            <w:gridSpan w:val="2"/>
            <w:vAlign w:val="center"/>
          </w:tcPr>
          <w:p>
            <w:pPr>
              <w:pStyle w:val="121"/>
              <w:spacing w:line="240" w:lineRule="exact"/>
              <w:ind w:left="-107" w:leftChars="-51" w:right="-67" w:rightChars="-32" w:firstLine="0" w:firstLineChars="0"/>
              <w:jc w:val="center"/>
              <w:rPr>
                <w:rFonts w:hint="eastAsia" w:ascii="黑体" w:hAnsi="黑体" w:eastAsia="黑体"/>
                <w:sz w:val="15"/>
                <w:szCs w:val="15"/>
                <w:lang w:val="en-US" w:eastAsia="zh-CN"/>
              </w:rPr>
            </w:pPr>
            <w:r>
              <w:rPr>
                <w:rFonts w:hint="eastAsia" w:ascii="黑体" w:hAnsi="黑体" w:eastAsia="黑体"/>
                <w:sz w:val="15"/>
                <w:szCs w:val="15"/>
                <w:lang w:val="en-US" w:eastAsia="zh-CN"/>
              </w:rPr>
              <w:t>15</w:t>
            </w:r>
          </w:p>
        </w:tc>
        <w:tc>
          <w:tcPr>
            <w:tcW w:w="992" w:type="dxa"/>
          </w:tcPr>
          <w:p>
            <w:pPr>
              <w:spacing w:line="260" w:lineRule="exact"/>
              <w:rPr>
                <w:rFonts w:hint="eastAsia" w:ascii="黑体" w:hAnsi="黑体" w:eastAsia="黑体"/>
                <w:sz w:val="15"/>
                <w:szCs w:val="15"/>
                <w:lang w:val="en-US" w:eastAsia="zh-CN"/>
              </w:rPr>
            </w:pPr>
          </w:p>
        </w:tc>
        <w:tc>
          <w:tcPr>
            <w:tcW w:w="1134" w:type="dxa"/>
            <w:gridSpan w:val="2"/>
          </w:tcPr>
          <w:p>
            <w:pPr>
              <w:spacing w:line="260" w:lineRule="exact"/>
              <w:rPr>
                <w:rFonts w:ascii="黑体" w:hAnsi="黑体" w:eastAsia="黑体"/>
                <w:sz w:val="15"/>
                <w:szCs w:val="15"/>
              </w:rPr>
            </w:pPr>
          </w:p>
        </w:tc>
        <w:tc>
          <w:tcPr>
            <w:tcW w:w="1134" w:type="dxa"/>
            <w:vAlign w:val="top"/>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color w:val="FF0000"/>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tcPr>
          <w:p>
            <w:pPr>
              <w:spacing w:line="260" w:lineRule="exact"/>
              <w:jc w:val="center"/>
              <w:rPr>
                <w:rFonts w:ascii="黑体" w:hAnsi="黑体" w:eastAsia="黑体"/>
                <w:sz w:val="15"/>
                <w:szCs w:val="15"/>
              </w:rPr>
            </w:pPr>
          </w:p>
        </w:tc>
        <w:tc>
          <w:tcPr>
            <w:tcW w:w="851" w:type="dxa"/>
            <w:gridSpan w:val="2"/>
            <w:vAlign w:val="center"/>
          </w:tcPr>
          <w:p>
            <w:pPr>
              <w:pStyle w:val="121"/>
              <w:spacing w:line="240" w:lineRule="exact"/>
              <w:ind w:left="-107" w:leftChars="-51" w:right="-101" w:rightChars="-48" w:firstLine="0" w:firstLineChars="0"/>
              <w:jc w:val="center"/>
              <w:rPr>
                <w:rFonts w:ascii="黑体" w:hAnsi="黑体" w:eastAsia="黑体"/>
                <w:sz w:val="15"/>
                <w:szCs w:val="15"/>
              </w:rPr>
            </w:pPr>
          </w:p>
        </w:tc>
        <w:tc>
          <w:tcPr>
            <w:tcW w:w="1134" w:type="dxa"/>
          </w:tcPr>
          <w:p>
            <w:pPr>
              <w:spacing w:line="260" w:lineRule="exact"/>
              <w:jc w:val="center"/>
              <w:rPr>
                <w:rFonts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tcPr>
          <w:p>
            <w:pPr>
              <w:spacing w:line="260" w:lineRule="exact"/>
              <w:jc w:val="center"/>
              <w:rPr>
                <w:rFonts w:ascii="黑体" w:hAnsi="黑体" w:eastAsia="黑体"/>
                <w:sz w:val="15"/>
                <w:szCs w:val="15"/>
              </w:rPr>
            </w:pPr>
          </w:p>
        </w:tc>
        <w:tc>
          <w:tcPr>
            <w:tcW w:w="851" w:type="dxa"/>
            <w:gridSpan w:val="2"/>
            <w:vAlign w:val="center"/>
          </w:tcPr>
          <w:p>
            <w:pPr>
              <w:pStyle w:val="121"/>
              <w:spacing w:line="240" w:lineRule="exact"/>
              <w:ind w:left="-107" w:leftChars="-51" w:right="-101" w:rightChars="-48" w:firstLine="0" w:firstLineChars="0"/>
              <w:jc w:val="center"/>
              <w:rPr>
                <w:rFonts w:ascii="黑体" w:hAnsi="黑体" w:eastAsia="黑体"/>
                <w:sz w:val="15"/>
                <w:szCs w:val="15"/>
              </w:rPr>
            </w:pPr>
          </w:p>
        </w:tc>
        <w:tc>
          <w:tcPr>
            <w:tcW w:w="1134" w:type="dxa"/>
          </w:tcPr>
          <w:p>
            <w:pPr>
              <w:spacing w:line="260" w:lineRule="exact"/>
              <w:jc w:val="center"/>
              <w:rPr>
                <w:rFonts w:ascii="黑体" w:hAnsi="黑体" w:eastAsia="黑体"/>
                <w:sz w:val="15"/>
                <w:szCs w:val="15"/>
              </w:rPr>
            </w:pPr>
          </w:p>
        </w:tc>
        <w:tc>
          <w:tcPr>
            <w:tcW w:w="1134" w:type="dxa"/>
            <w:gridSpan w:val="2"/>
          </w:tcPr>
          <w:p>
            <w:pPr>
              <w:spacing w:line="260" w:lineRule="exact"/>
              <w:jc w:val="center"/>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tcPr>
          <w:p>
            <w:pPr>
              <w:spacing w:line="260" w:lineRule="exact"/>
              <w:rPr>
                <w:rFonts w:ascii="黑体" w:hAnsi="黑体" w:eastAsia="黑体"/>
                <w:sz w:val="15"/>
                <w:szCs w:val="15"/>
              </w:rPr>
            </w:pPr>
          </w:p>
        </w:tc>
        <w:tc>
          <w:tcPr>
            <w:tcW w:w="851" w:type="dxa"/>
            <w:gridSpan w:val="2"/>
            <w:vAlign w:val="center"/>
          </w:tcPr>
          <w:p>
            <w:pPr>
              <w:pStyle w:val="121"/>
              <w:spacing w:line="240" w:lineRule="exact"/>
              <w:ind w:left="-107" w:leftChars="-51" w:right="-67" w:rightChars="-32" w:firstLine="0" w:firstLineChars="0"/>
              <w:jc w:val="center"/>
              <w:rPr>
                <w:rFonts w:ascii="Times New Roman" w:hAnsi="Times New Roman"/>
                <w:sz w:val="18"/>
                <w:szCs w:val="18"/>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tcPr>
          <w:p>
            <w:pPr>
              <w:spacing w:line="260" w:lineRule="exact"/>
              <w:rPr>
                <w:rFonts w:ascii="黑体" w:hAnsi="黑体" w:eastAsia="黑体"/>
                <w:sz w:val="15"/>
                <w:szCs w:val="15"/>
              </w:rPr>
            </w:pPr>
          </w:p>
        </w:tc>
        <w:tc>
          <w:tcPr>
            <w:tcW w:w="851" w:type="dxa"/>
            <w:gridSpan w:val="2"/>
            <w:vAlign w:val="center"/>
          </w:tcPr>
          <w:p>
            <w:pPr>
              <w:pStyle w:val="121"/>
              <w:spacing w:line="240" w:lineRule="exact"/>
              <w:ind w:left="-107" w:leftChars="-51" w:right="-67" w:rightChars="-32" w:firstLine="0" w:firstLineChars="0"/>
              <w:jc w:val="center"/>
              <w:rPr>
                <w:rFonts w:ascii="Times New Roman" w:hAnsi="Times New Roman"/>
                <w:sz w:val="18"/>
                <w:szCs w:val="18"/>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1843" w:type="dxa"/>
            <w:gridSpan w:val="2"/>
          </w:tcPr>
          <w:p>
            <w:pPr>
              <w:spacing w:line="260" w:lineRule="exact"/>
              <w:rPr>
                <w:rFonts w:ascii="黑体" w:hAnsi="黑体" w:eastAsia="黑体"/>
                <w:sz w:val="15"/>
                <w:szCs w:val="15"/>
              </w:rPr>
            </w:pPr>
          </w:p>
        </w:tc>
        <w:tc>
          <w:tcPr>
            <w:tcW w:w="851" w:type="dxa"/>
            <w:gridSpan w:val="2"/>
            <w:vAlign w:val="center"/>
          </w:tcPr>
          <w:p>
            <w:pPr>
              <w:pStyle w:val="121"/>
              <w:spacing w:line="240" w:lineRule="exact"/>
              <w:ind w:left="-107" w:leftChars="-51" w:right="-67" w:rightChars="-32" w:firstLine="0" w:firstLineChars="0"/>
              <w:jc w:val="center"/>
              <w:rPr>
                <w:rFonts w:ascii="Times New Roman" w:hAnsi="Times New Roman"/>
                <w:sz w:val="18"/>
                <w:szCs w:val="18"/>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993" w:type="dxa"/>
            <w:vMerge w:val="restart"/>
          </w:tcPr>
          <w:p>
            <w:pPr>
              <w:spacing w:line="260" w:lineRule="exact"/>
              <w:rPr>
                <w:rFonts w:ascii="黑体" w:hAnsi="黑体" w:eastAsia="黑体"/>
                <w:sz w:val="15"/>
                <w:szCs w:val="15"/>
              </w:rPr>
            </w:pPr>
            <w:r>
              <w:rPr>
                <w:rFonts w:hint="eastAsia" w:ascii="黑体" w:hAnsi="黑体" w:eastAsia="黑体"/>
                <w:sz w:val="15"/>
                <w:szCs w:val="15"/>
              </w:rPr>
              <w:t>与项目有关的其他特征污染物</w:t>
            </w:r>
          </w:p>
        </w:tc>
        <w:tc>
          <w:tcPr>
            <w:tcW w:w="850" w:type="dxa"/>
          </w:tcPr>
          <w:p>
            <w:pPr>
              <w:spacing w:line="260" w:lineRule="exact"/>
              <w:rPr>
                <w:rFonts w:ascii="黑体" w:hAnsi="黑体" w:eastAsia="黑体"/>
                <w:sz w:val="15"/>
                <w:szCs w:val="15"/>
              </w:rPr>
            </w:pPr>
          </w:p>
        </w:tc>
        <w:tc>
          <w:tcPr>
            <w:tcW w:w="851" w:type="dxa"/>
            <w:gridSpan w:val="2"/>
          </w:tcPr>
          <w:p>
            <w:pPr>
              <w:spacing w:line="260" w:lineRule="exact"/>
              <w:jc w:val="center"/>
              <w:rPr>
                <w:rFonts w:ascii="黑体" w:hAnsi="黑体" w:eastAsia="黑体"/>
                <w:sz w:val="15"/>
                <w:szCs w:val="15"/>
              </w:rPr>
            </w:pPr>
          </w:p>
        </w:tc>
        <w:tc>
          <w:tcPr>
            <w:tcW w:w="1134" w:type="dxa"/>
          </w:tcPr>
          <w:p>
            <w:pPr>
              <w:spacing w:line="260" w:lineRule="exact"/>
              <w:jc w:val="center"/>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jc w:val="lef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993" w:type="dxa"/>
            <w:vMerge w:val="continue"/>
          </w:tcPr>
          <w:p>
            <w:pPr>
              <w:spacing w:line="260" w:lineRule="exact"/>
              <w:rPr>
                <w:rFonts w:ascii="黑体" w:hAnsi="黑体" w:eastAsia="黑体"/>
                <w:sz w:val="15"/>
                <w:szCs w:val="15"/>
              </w:rPr>
            </w:pPr>
          </w:p>
        </w:tc>
        <w:tc>
          <w:tcPr>
            <w:tcW w:w="850" w:type="dxa"/>
          </w:tcPr>
          <w:p>
            <w:pPr>
              <w:spacing w:line="260" w:lineRule="exact"/>
              <w:rPr>
                <w:rFonts w:ascii="黑体" w:hAnsi="黑体" w:eastAsia="黑体"/>
                <w:sz w:val="15"/>
                <w:szCs w:val="15"/>
              </w:rPr>
            </w:pPr>
          </w:p>
        </w:tc>
        <w:tc>
          <w:tcPr>
            <w:tcW w:w="851" w:type="dxa"/>
            <w:gridSpan w:val="2"/>
          </w:tcPr>
          <w:p>
            <w:pPr>
              <w:spacing w:line="260" w:lineRule="exact"/>
              <w:jc w:val="center"/>
              <w:rPr>
                <w:rFonts w:ascii="黑体" w:hAnsi="黑体" w:eastAsia="黑体"/>
                <w:sz w:val="15"/>
                <w:szCs w:val="15"/>
              </w:rPr>
            </w:pPr>
          </w:p>
        </w:tc>
        <w:tc>
          <w:tcPr>
            <w:tcW w:w="1134" w:type="dxa"/>
          </w:tcPr>
          <w:p>
            <w:pPr>
              <w:spacing w:line="260" w:lineRule="exact"/>
              <w:jc w:val="center"/>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jc w:val="lef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562" w:type="dxa"/>
            <w:gridSpan w:val="2"/>
            <w:vMerge w:val="continue"/>
          </w:tcPr>
          <w:p>
            <w:pPr>
              <w:spacing w:line="260" w:lineRule="exact"/>
              <w:rPr>
                <w:rFonts w:ascii="黑体" w:hAnsi="黑体" w:eastAsia="黑体"/>
                <w:sz w:val="15"/>
                <w:szCs w:val="15"/>
              </w:rPr>
            </w:pPr>
          </w:p>
        </w:tc>
        <w:tc>
          <w:tcPr>
            <w:tcW w:w="993" w:type="dxa"/>
            <w:vMerge w:val="continue"/>
          </w:tcPr>
          <w:p>
            <w:pPr>
              <w:spacing w:line="260" w:lineRule="exact"/>
              <w:rPr>
                <w:rFonts w:ascii="黑体" w:hAnsi="黑体" w:eastAsia="黑体"/>
                <w:sz w:val="15"/>
                <w:szCs w:val="15"/>
              </w:rPr>
            </w:pPr>
          </w:p>
        </w:tc>
        <w:tc>
          <w:tcPr>
            <w:tcW w:w="850" w:type="dxa"/>
          </w:tcPr>
          <w:p>
            <w:pPr>
              <w:spacing w:line="260" w:lineRule="exact"/>
              <w:rPr>
                <w:rFonts w:ascii="黑体" w:hAnsi="黑体" w:eastAsia="黑体"/>
                <w:sz w:val="15"/>
                <w:szCs w:val="15"/>
              </w:rPr>
            </w:pPr>
          </w:p>
        </w:tc>
        <w:tc>
          <w:tcPr>
            <w:tcW w:w="851"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992"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134" w:type="dxa"/>
          </w:tcPr>
          <w:p>
            <w:pPr>
              <w:spacing w:line="260" w:lineRule="exact"/>
              <w:rPr>
                <w:rFonts w:ascii="黑体" w:hAnsi="黑体" w:eastAsia="黑体"/>
                <w:sz w:val="15"/>
                <w:szCs w:val="15"/>
              </w:rPr>
            </w:pPr>
          </w:p>
        </w:tc>
        <w:tc>
          <w:tcPr>
            <w:tcW w:w="1134" w:type="dxa"/>
            <w:gridSpan w:val="2"/>
          </w:tcPr>
          <w:p>
            <w:pPr>
              <w:spacing w:line="260" w:lineRule="exact"/>
              <w:rPr>
                <w:rFonts w:ascii="黑体" w:hAnsi="黑体" w:eastAsia="黑体"/>
                <w:sz w:val="15"/>
                <w:szCs w:val="15"/>
              </w:rPr>
            </w:pPr>
          </w:p>
        </w:tc>
        <w:tc>
          <w:tcPr>
            <w:tcW w:w="1566" w:type="dxa"/>
          </w:tcPr>
          <w:p>
            <w:pPr>
              <w:spacing w:line="260" w:lineRule="exact"/>
              <w:rPr>
                <w:rFonts w:ascii="黑体" w:hAnsi="黑体" w:eastAsia="黑体"/>
                <w:sz w:val="15"/>
                <w:szCs w:val="15"/>
              </w:rPr>
            </w:pPr>
          </w:p>
        </w:tc>
        <w:tc>
          <w:tcPr>
            <w:tcW w:w="1079" w:type="dxa"/>
          </w:tcPr>
          <w:p>
            <w:pPr>
              <w:spacing w:line="260" w:lineRule="exact"/>
              <w:rPr>
                <w:rFonts w:ascii="黑体" w:hAnsi="黑体" w:eastAsia="黑体"/>
                <w:sz w:val="15"/>
                <w:szCs w:val="15"/>
              </w:rPr>
            </w:pPr>
          </w:p>
        </w:tc>
        <w:tc>
          <w:tcPr>
            <w:tcW w:w="993" w:type="dxa"/>
            <w:gridSpan w:val="3"/>
          </w:tcPr>
          <w:p>
            <w:pPr>
              <w:spacing w:line="260" w:lineRule="exact"/>
              <w:rPr>
                <w:rFonts w:ascii="黑体" w:hAnsi="黑体" w:eastAsia="黑体"/>
                <w:sz w:val="15"/>
                <w:szCs w:val="15"/>
              </w:rPr>
            </w:pPr>
          </w:p>
        </w:tc>
        <w:tc>
          <w:tcPr>
            <w:tcW w:w="1189" w:type="dxa"/>
            <w:gridSpan w:val="2"/>
          </w:tcPr>
          <w:p>
            <w:pPr>
              <w:spacing w:line="260" w:lineRule="exact"/>
              <w:rPr>
                <w:rFonts w:ascii="黑体" w:hAnsi="黑体" w:eastAsia="黑体"/>
                <w:sz w:val="15"/>
                <w:szCs w:val="15"/>
              </w:rPr>
            </w:pPr>
          </w:p>
        </w:tc>
        <w:tc>
          <w:tcPr>
            <w:tcW w:w="1107" w:type="dxa"/>
            <w:gridSpan w:val="2"/>
          </w:tcPr>
          <w:p>
            <w:pPr>
              <w:spacing w:line="260" w:lineRule="exact"/>
              <w:rPr>
                <w:rFonts w:ascii="黑体" w:hAnsi="黑体" w:eastAsia="黑体"/>
                <w:sz w:val="15"/>
                <w:szCs w:val="15"/>
              </w:rPr>
            </w:pPr>
          </w:p>
        </w:tc>
      </w:tr>
    </w:tbl>
    <w:p>
      <w:pPr>
        <w:ind w:firstLine="750" w:firstLineChars="500"/>
        <w:rPr>
          <w:rFonts w:ascii="黑体" w:hAnsi="黑体" w:eastAsia="黑体"/>
          <w:sz w:val="15"/>
        </w:rPr>
      </w:pPr>
      <w:r>
        <w:rPr>
          <w:rFonts w:hint="eastAsia" w:ascii="黑体" w:hAnsi="黑体" w:eastAsia="黑体"/>
          <w:sz w:val="15"/>
        </w:rPr>
        <w:t>注：</w:t>
      </w:r>
      <w:r>
        <w:rPr>
          <w:rFonts w:ascii="黑体" w:hAnsi="黑体" w:eastAsia="黑体"/>
          <w:sz w:val="15"/>
        </w:rPr>
        <w:t>1</w:t>
      </w:r>
      <w:r>
        <w:rPr>
          <w:rFonts w:hint="eastAsia" w:ascii="黑体" w:hAnsi="黑体" w:eastAsia="黑体"/>
          <w:sz w:val="15"/>
        </w:rPr>
        <w:t>、排放增减量：</w:t>
      </w:r>
      <w:r>
        <w:rPr>
          <w:rFonts w:ascii="黑体" w:hAnsi="黑体" w:eastAsia="黑体"/>
          <w:sz w:val="15"/>
        </w:rPr>
        <w:t>(+)</w:t>
      </w:r>
      <w:r>
        <w:rPr>
          <w:rFonts w:hint="eastAsia" w:ascii="黑体" w:hAnsi="黑体" w:eastAsia="黑体"/>
          <w:sz w:val="15"/>
        </w:rPr>
        <w:t>表示增加，</w:t>
      </w:r>
      <w:r>
        <w:rPr>
          <w:rFonts w:ascii="黑体" w:hAnsi="黑体" w:eastAsia="黑体"/>
          <w:sz w:val="15"/>
        </w:rPr>
        <w:t>(-)</w:t>
      </w:r>
      <w:r>
        <w:rPr>
          <w:rFonts w:hint="eastAsia" w:ascii="黑体" w:hAnsi="黑体" w:eastAsia="黑体"/>
          <w:sz w:val="15"/>
        </w:rPr>
        <w:t>表示减少。</w:t>
      </w:r>
      <w:r>
        <w:rPr>
          <w:rFonts w:ascii="黑体" w:hAnsi="黑体" w:eastAsia="黑体"/>
          <w:sz w:val="15"/>
        </w:rPr>
        <w:t>2</w:t>
      </w:r>
      <w:r>
        <w:rPr>
          <w:rFonts w:hint="eastAsia" w:ascii="黑体" w:hAnsi="黑体" w:eastAsia="黑体"/>
          <w:sz w:val="15"/>
        </w:rPr>
        <w:t>、</w:t>
      </w:r>
      <w:r>
        <w:rPr>
          <w:rFonts w:ascii="黑体" w:hAnsi="黑体" w:eastAsia="黑体"/>
          <w:sz w:val="15"/>
        </w:rPr>
        <w:t>(12)=(6)- (8)- (11)</w:t>
      </w:r>
      <w:r>
        <w:rPr>
          <w:rFonts w:hint="eastAsia" w:ascii="黑体" w:hAnsi="黑体" w:eastAsia="黑体"/>
          <w:sz w:val="15"/>
        </w:rPr>
        <w:t>，</w:t>
      </w:r>
      <w:r>
        <w:rPr>
          <w:rFonts w:ascii="黑体" w:hAnsi="黑体" w:eastAsia="黑体"/>
          <w:sz w:val="15"/>
        </w:rPr>
        <w:t>(9)= (4)-(5)-(8)-(11)+(1)</w:t>
      </w:r>
      <w:r>
        <w:rPr>
          <w:rFonts w:hint="eastAsia" w:ascii="黑体" w:hAnsi="黑体" w:eastAsia="黑体"/>
          <w:sz w:val="15"/>
        </w:rPr>
        <w:t>。</w:t>
      </w:r>
      <w:r>
        <w:rPr>
          <w:rFonts w:ascii="黑体" w:hAnsi="黑体" w:eastAsia="黑体"/>
          <w:sz w:val="15"/>
        </w:rPr>
        <w:t>3</w:t>
      </w:r>
      <w:r>
        <w:rPr>
          <w:rFonts w:hint="eastAsia" w:ascii="黑体" w:hAnsi="黑体" w:eastAsia="黑体"/>
          <w:sz w:val="15"/>
        </w:rPr>
        <w:t>、计量单位：废水排放量</w:t>
      </w:r>
      <w:r>
        <w:rPr>
          <w:rFonts w:ascii="黑体" w:hAnsi="黑体" w:eastAsia="黑体"/>
          <w:sz w:val="15"/>
        </w:rPr>
        <w:t>——</w:t>
      </w:r>
      <w:r>
        <w:rPr>
          <w:rFonts w:hint="eastAsia" w:ascii="黑体" w:hAnsi="黑体" w:eastAsia="黑体"/>
          <w:sz w:val="15"/>
        </w:rPr>
        <w:t>万吨</w:t>
      </w:r>
      <w:r>
        <w:rPr>
          <w:rFonts w:ascii="黑体" w:hAnsi="黑体" w:eastAsia="黑体"/>
          <w:sz w:val="15"/>
        </w:rPr>
        <w:t>/</w:t>
      </w:r>
      <w:r>
        <w:rPr>
          <w:rFonts w:hint="eastAsia" w:ascii="黑体" w:hAnsi="黑体" w:eastAsia="黑体"/>
          <w:sz w:val="15"/>
        </w:rPr>
        <w:t>年；废气排放量</w:t>
      </w:r>
      <w:r>
        <w:rPr>
          <w:rFonts w:ascii="黑体" w:hAnsi="黑体" w:eastAsia="黑体"/>
          <w:sz w:val="15"/>
        </w:rPr>
        <w:t>——</w:t>
      </w:r>
      <w:r>
        <w:rPr>
          <w:rFonts w:hint="eastAsia" w:ascii="黑体" w:hAnsi="黑体" w:eastAsia="黑体"/>
          <w:sz w:val="15"/>
        </w:rPr>
        <w:t>万标立方米</w:t>
      </w:r>
      <w:r>
        <w:rPr>
          <w:rFonts w:ascii="黑体" w:hAnsi="黑体" w:eastAsia="黑体"/>
          <w:sz w:val="15"/>
        </w:rPr>
        <w:t>/</w:t>
      </w:r>
      <w:r>
        <w:rPr>
          <w:rFonts w:hint="eastAsia" w:ascii="黑体" w:hAnsi="黑体" w:eastAsia="黑体"/>
          <w:sz w:val="15"/>
        </w:rPr>
        <w:t>年；工业固体废物排放量</w:t>
      </w:r>
      <w:r>
        <w:rPr>
          <w:rFonts w:ascii="黑体" w:hAnsi="黑体" w:eastAsia="黑体"/>
          <w:sz w:val="15"/>
        </w:rPr>
        <w:t>——</w:t>
      </w:r>
      <w:r>
        <w:rPr>
          <w:rFonts w:hint="eastAsia" w:ascii="黑体" w:hAnsi="黑体" w:eastAsia="黑体"/>
          <w:sz w:val="15"/>
        </w:rPr>
        <w:t>万吨</w:t>
      </w:r>
      <w:r>
        <w:rPr>
          <w:rFonts w:ascii="黑体" w:hAnsi="黑体" w:eastAsia="黑体"/>
          <w:sz w:val="15"/>
        </w:rPr>
        <w:t>/</w:t>
      </w:r>
      <w:r>
        <w:rPr>
          <w:rFonts w:hint="eastAsia" w:ascii="黑体" w:hAnsi="黑体" w:eastAsia="黑体"/>
          <w:sz w:val="15"/>
        </w:rPr>
        <w:t>年；</w:t>
      </w:r>
    </w:p>
    <w:p>
      <w:pPr>
        <w:ind w:firstLine="750" w:firstLineChars="500"/>
        <w:rPr>
          <w:rFonts w:ascii="黑体" w:hAnsi="黑体" w:eastAsia="黑体"/>
          <w:sz w:val="15"/>
        </w:rPr>
      </w:pPr>
      <w:r>
        <w:rPr>
          <w:rFonts w:hint="eastAsia" w:ascii="黑体" w:hAnsi="黑体" w:eastAsia="黑体"/>
          <w:sz w:val="15"/>
        </w:rPr>
        <w:t>水污染物排放浓度</w:t>
      </w:r>
      <w:r>
        <w:rPr>
          <w:rFonts w:ascii="黑体" w:hAnsi="黑体" w:eastAsia="黑体"/>
          <w:sz w:val="15"/>
        </w:rPr>
        <w:t>——</w:t>
      </w:r>
      <w:r>
        <w:rPr>
          <w:rFonts w:hint="eastAsia" w:ascii="黑体" w:hAnsi="黑体" w:eastAsia="黑体"/>
          <w:sz w:val="15"/>
        </w:rPr>
        <w:t>毫克</w:t>
      </w:r>
      <w:r>
        <w:rPr>
          <w:rFonts w:ascii="黑体" w:hAnsi="黑体" w:eastAsia="黑体"/>
          <w:sz w:val="15"/>
        </w:rPr>
        <w:t>/</w:t>
      </w:r>
      <w:r>
        <w:rPr>
          <w:rFonts w:hint="eastAsia" w:ascii="黑体" w:hAnsi="黑体" w:eastAsia="黑体"/>
          <w:sz w:val="15"/>
        </w:rPr>
        <w:t>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等线 Light">
    <w:altName w:val="宋体"/>
    <w:panose1 w:val="00000000000000000000"/>
    <w:charset w:val="86"/>
    <w:family w:val="auto"/>
    <w:pitch w:val="default"/>
    <w:sig w:usb0="00000000" w:usb1="00000000" w:usb2="00000010" w:usb3="00000000" w:csb0="00040000" w:csb1="00000000"/>
  </w:font>
  <w:font w:name="宋">
    <w:altName w:val="宋体"/>
    <w:panose1 w:val="00000000000000000000"/>
    <w:charset w:val="86"/>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28</w:t>
    </w:r>
    <w:r>
      <w:rPr>
        <w:lang w:val="zh-C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4278"/>
    <w:rsid w:val="00007CBA"/>
    <w:rsid w:val="000148AA"/>
    <w:rsid w:val="0001642D"/>
    <w:rsid w:val="0002043A"/>
    <w:rsid w:val="00021D28"/>
    <w:rsid w:val="00022371"/>
    <w:rsid w:val="00031ADD"/>
    <w:rsid w:val="00032C1B"/>
    <w:rsid w:val="00033794"/>
    <w:rsid w:val="000359FD"/>
    <w:rsid w:val="000462A7"/>
    <w:rsid w:val="000579EA"/>
    <w:rsid w:val="00061CE7"/>
    <w:rsid w:val="000625A7"/>
    <w:rsid w:val="000641C8"/>
    <w:rsid w:val="00072450"/>
    <w:rsid w:val="000737A4"/>
    <w:rsid w:val="00076872"/>
    <w:rsid w:val="00076D01"/>
    <w:rsid w:val="0008542C"/>
    <w:rsid w:val="0008776D"/>
    <w:rsid w:val="000914C4"/>
    <w:rsid w:val="00097CD8"/>
    <w:rsid w:val="000A384F"/>
    <w:rsid w:val="000A412E"/>
    <w:rsid w:val="000A7A75"/>
    <w:rsid w:val="000B37AF"/>
    <w:rsid w:val="000D7387"/>
    <w:rsid w:val="000E4225"/>
    <w:rsid w:val="0013008A"/>
    <w:rsid w:val="0013039A"/>
    <w:rsid w:val="001354F6"/>
    <w:rsid w:val="0014642D"/>
    <w:rsid w:val="001506F1"/>
    <w:rsid w:val="00166B19"/>
    <w:rsid w:val="0017574E"/>
    <w:rsid w:val="001A0F34"/>
    <w:rsid w:val="001B2F94"/>
    <w:rsid w:val="001D25E3"/>
    <w:rsid w:val="001D2E6B"/>
    <w:rsid w:val="001D5A11"/>
    <w:rsid w:val="001E0391"/>
    <w:rsid w:val="001E2346"/>
    <w:rsid w:val="001E3A0E"/>
    <w:rsid w:val="001F6AB0"/>
    <w:rsid w:val="001F6F33"/>
    <w:rsid w:val="00206CE1"/>
    <w:rsid w:val="00207100"/>
    <w:rsid w:val="002143BF"/>
    <w:rsid w:val="00214AF7"/>
    <w:rsid w:val="00216D0D"/>
    <w:rsid w:val="0023096D"/>
    <w:rsid w:val="00232C1C"/>
    <w:rsid w:val="00233E01"/>
    <w:rsid w:val="00241285"/>
    <w:rsid w:val="002458DD"/>
    <w:rsid w:val="00252BF1"/>
    <w:rsid w:val="0026051A"/>
    <w:rsid w:val="00263A30"/>
    <w:rsid w:val="00265779"/>
    <w:rsid w:val="00276FC6"/>
    <w:rsid w:val="00286B5F"/>
    <w:rsid w:val="00293216"/>
    <w:rsid w:val="002A20D5"/>
    <w:rsid w:val="002A6175"/>
    <w:rsid w:val="002A64A6"/>
    <w:rsid w:val="002A6545"/>
    <w:rsid w:val="002B02D0"/>
    <w:rsid w:val="002D3E26"/>
    <w:rsid w:val="002D790D"/>
    <w:rsid w:val="002E2348"/>
    <w:rsid w:val="002E3447"/>
    <w:rsid w:val="002E3839"/>
    <w:rsid w:val="002E532B"/>
    <w:rsid w:val="002F4153"/>
    <w:rsid w:val="00312B61"/>
    <w:rsid w:val="0031678D"/>
    <w:rsid w:val="003222C4"/>
    <w:rsid w:val="00322403"/>
    <w:rsid w:val="003312A4"/>
    <w:rsid w:val="00333A79"/>
    <w:rsid w:val="00335B67"/>
    <w:rsid w:val="00341475"/>
    <w:rsid w:val="003430BD"/>
    <w:rsid w:val="00360C6A"/>
    <w:rsid w:val="00370E10"/>
    <w:rsid w:val="00373A5E"/>
    <w:rsid w:val="0037435A"/>
    <w:rsid w:val="00375427"/>
    <w:rsid w:val="0038509D"/>
    <w:rsid w:val="00390117"/>
    <w:rsid w:val="00397500"/>
    <w:rsid w:val="003A0FFE"/>
    <w:rsid w:val="003B0D53"/>
    <w:rsid w:val="003B3F86"/>
    <w:rsid w:val="003B4A79"/>
    <w:rsid w:val="003B5ABD"/>
    <w:rsid w:val="003E47A7"/>
    <w:rsid w:val="003E6C8F"/>
    <w:rsid w:val="003F26D3"/>
    <w:rsid w:val="003F3249"/>
    <w:rsid w:val="00402040"/>
    <w:rsid w:val="0040457E"/>
    <w:rsid w:val="00422D48"/>
    <w:rsid w:val="00442D8C"/>
    <w:rsid w:val="004513A0"/>
    <w:rsid w:val="004522DA"/>
    <w:rsid w:val="0047088F"/>
    <w:rsid w:val="00477552"/>
    <w:rsid w:val="004867D3"/>
    <w:rsid w:val="004A1EC7"/>
    <w:rsid w:val="004A58BE"/>
    <w:rsid w:val="004A644D"/>
    <w:rsid w:val="004A7E3F"/>
    <w:rsid w:val="004B3223"/>
    <w:rsid w:val="004B7F2A"/>
    <w:rsid w:val="004C0F09"/>
    <w:rsid w:val="004C370A"/>
    <w:rsid w:val="004C65E9"/>
    <w:rsid w:val="004C6B43"/>
    <w:rsid w:val="004D162A"/>
    <w:rsid w:val="004E6B64"/>
    <w:rsid w:val="00505471"/>
    <w:rsid w:val="00506F89"/>
    <w:rsid w:val="00524DE0"/>
    <w:rsid w:val="00534AB2"/>
    <w:rsid w:val="00542DA3"/>
    <w:rsid w:val="005547FF"/>
    <w:rsid w:val="0055688F"/>
    <w:rsid w:val="00571B8D"/>
    <w:rsid w:val="005749C9"/>
    <w:rsid w:val="00581191"/>
    <w:rsid w:val="005833F1"/>
    <w:rsid w:val="0058433A"/>
    <w:rsid w:val="00590C6C"/>
    <w:rsid w:val="00592DA8"/>
    <w:rsid w:val="0059451A"/>
    <w:rsid w:val="005A5BFE"/>
    <w:rsid w:val="005C53AD"/>
    <w:rsid w:val="005D10FF"/>
    <w:rsid w:val="005D1BC9"/>
    <w:rsid w:val="005F77DE"/>
    <w:rsid w:val="00604C96"/>
    <w:rsid w:val="00606798"/>
    <w:rsid w:val="0060769E"/>
    <w:rsid w:val="006137D5"/>
    <w:rsid w:val="00617761"/>
    <w:rsid w:val="00620CCD"/>
    <w:rsid w:val="0063711A"/>
    <w:rsid w:val="006402AF"/>
    <w:rsid w:val="00642562"/>
    <w:rsid w:val="0066058C"/>
    <w:rsid w:val="0066434C"/>
    <w:rsid w:val="00676279"/>
    <w:rsid w:val="00685064"/>
    <w:rsid w:val="00685CA5"/>
    <w:rsid w:val="006864EF"/>
    <w:rsid w:val="006928A5"/>
    <w:rsid w:val="006A2027"/>
    <w:rsid w:val="006A45DD"/>
    <w:rsid w:val="006A602E"/>
    <w:rsid w:val="006D2EF9"/>
    <w:rsid w:val="006D371F"/>
    <w:rsid w:val="006E44C6"/>
    <w:rsid w:val="006F04C7"/>
    <w:rsid w:val="006F6370"/>
    <w:rsid w:val="00704799"/>
    <w:rsid w:val="00706130"/>
    <w:rsid w:val="00712510"/>
    <w:rsid w:val="00712B85"/>
    <w:rsid w:val="007136D8"/>
    <w:rsid w:val="00715020"/>
    <w:rsid w:val="00715EC5"/>
    <w:rsid w:val="00720B0E"/>
    <w:rsid w:val="00724BB0"/>
    <w:rsid w:val="007409A5"/>
    <w:rsid w:val="00740AE3"/>
    <w:rsid w:val="0076059D"/>
    <w:rsid w:val="0077633B"/>
    <w:rsid w:val="007919ED"/>
    <w:rsid w:val="007A481D"/>
    <w:rsid w:val="007A54AA"/>
    <w:rsid w:val="007A60E4"/>
    <w:rsid w:val="007A7654"/>
    <w:rsid w:val="007B341D"/>
    <w:rsid w:val="007B51E6"/>
    <w:rsid w:val="007C4FBD"/>
    <w:rsid w:val="007C53C1"/>
    <w:rsid w:val="007D1DC4"/>
    <w:rsid w:val="007D3F04"/>
    <w:rsid w:val="007E2870"/>
    <w:rsid w:val="007F0153"/>
    <w:rsid w:val="007F44A6"/>
    <w:rsid w:val="0080503D"/>
    <w:rsid w:val="00805837"/>
    <w:rsid w:val="008124EB"/>
    <w:rsid w:val="008159A6"/>
    <w:rsid w:val="0082216D"/>
    <w:rsid w:val="008265A6"/>
    <w:rsid w:val="0083295C"/>
    <w:rsid w:val="0084275D"/>
    <w:rsid w:val="00844819"/>
    <w:rsid w:val="0084565E"/>
    <w:rsid w:val="00847F26"/>
    <w:rsid w:val="008561A9"/>
    <w:rsid w:val="008628A4"/>
    <w:rsid w:val="00864D90"/>
    <w:rsid w:val="008913F5"/>
    <w:rsid w:val="00891F5D"/>
    <w:rsid w:val="008A03D7"/>
    <w:rsid w:val="008C58BB"/>
    <w:rsid w:val="008C58EF"/>
    <w:rsid w:val="008D3A73"/>
    <w:rsid w:val="008D7424"/>
    <w:rsid w:val="008F134C"/>
    <w:rsid w:val="008F4CAB"/>
    <w:rsid w:val="009125F4"/>
    <w:rsid w:val="00922EB9"/>
    <w:rsid w:val="009278D4"/>
    <w:rsid w:val="00955A17"/>
    <w:rsid w:val="00962D6E"/>
    <w:rsid w:val="00970699"/>
    <w:rsid w:val="00971676"/>
    <w:rsid w:val="009826C1"/>
    <w:rsid w:val="00993F85"/>
    <w:rsid w:val="00994322"/>
    <w:rsid w:val="009A0A58"/>
    <w:rsid w:val="009A1369"/>
    <w:rsid w:val="009B17F7"/>
    <w:rsid w:val="009B563E"/>
    <w:rsid w:val="009B7543"/>
    <w:rsid w:val="009C457F"/>
    <w:rsid w:val="009D05F1"/>
    <w:rsid w:val="009D32E5"/>
    <w:rsid w:val="009E152B"/>
    <w:rsid w:val="009E7FC9"/>
    <w:rsid w:val="009F1D24"/>
    <w:rsid w:val="00A03289"/>
    <w:rsid w:val="00A06A45"/>
    <w:rsid w:val="00A17422"/>
    <w:rsid w:val="00A207F7"/>
    <w:rsid w:val="00A22624"/>
    <w:rsid w:val="00A243A7"/>
    <w:rsid w:val="00A27105"/>
    <w:rsid w:val="00A36AF7"/>
    <w:rsid w:val="00A458B7"/>
    <w:rsid w:val="00A46F99"/>
    <w:rsid w:val="00A55223"/>
    <w:rsid w:val="00A66560"/>
    <w:rsid w:val="00A67D5C"/>
    <w:rsid w:val="00A84A61"/>
    <w:rsid w:val="00A84C49"/>
    <w:rsid w:val="00A912DF"/>
    <w:rsid w:val="00AA27E2"/>
    <w:rsid w:val="00AB703A"/>
    <w:rsid w:val="00AB7FA0"/>
    <w:rsid w:val="00AC1379"/>
    <w:rsid w:val="00AD006E"/>
    <w:rsid w:val="00AF31C9"/>
    <w:rsid w:val="00B03BB7"/>
    <w:rsid w:val="00B04556"/>
    <w:rsid w:val="00B05CEC"/>
    <w:rsid w:val="00B132AB"/>
    <w:rsid w:val="00B13996"/>
    <w:rsid w:val="00B16337"/>
    <w:rsid w:val="00B2352C"/>
    <w:rsid w:val="00B30567"/>
    <w:rsid w:val="00B332BD"/>
    <w:rsid w:val="00B41AED"/>
    <w:rsid w:val="00B4337E"/>
    <w:rsid w:val="00B4702D"/>
    <w:rsid w:val="00B52DEB"/>
    <w:rsid w:val="00B52F37"/>
    <w:rsid w:val="00B81768"/>
    <w:rsid w:val="00B822C7"/>
    <w:rsid w:val="00B856B0"/>
    <w:rsid w:val="00B865D8"/>
    <w:rsid w:val="00B94353"/>
    <w:rsid w:val="00B94D0E"/>
    <w:rsid w:val="00BB30E6"/>
    <w:rsid w:val="00BD586B"/>
    <w:rsid w:val="00BF3E22"/>
    <w:rsid w:val="00BF4278"/>
    <w:rsid w:val="00BF5883"/>
    <w:rsid w:val="00BF5943"/>
    <w:rsid w:val="00C0039C"/>
    <w:rsid w:val="00C173B1"/>
    <w:rsid w:val="00C20820"/>
    <w:rsid w:val="00C227C8"/>
    <w:rsid w:val="00C24C63"/>
    <w:rsid w:val="00C252AB"/>
    <w:rsid w:val="00C26CC8"/>
    <w:rsid w:val="00C2749C"/>
    <w:rsid w:val="00C31192"/>
    <w:rsid w:val="00C35FB3"/>
    <w:rsid w:val="00C41528"/>
    <w:rsid w:val="00C5013B"/>
    <w:rsid w:val="00C57D19"/>
    <w:rsid w:val="00C61134"/>
    <w:rsid w:val="00C61992"/>
    <w:rsid w:val="00C6473B"/>
    <w:rsid w:val="00C66634"/>
    <w:rsid w:val="00C7007C"/>
    <w:rsid w:val="00C74380"/>
    <w:rsid w:val="00C83D7A"/>
    <w:rsid w:val="00C86DA9"/>
    <w:rsid w:val="00CA0C7B"/>
    <w:rsid w:val="00CB5435"/>
    <w:rsid w:val="00CC06EE"/>
    <w:rsid w:val="00CC20DB"/>
    <w:rsid w:val="00CC34BE"/>
    <w:rsid w:val="00CD1104"/>
    <w:rsid w:val="00CD1CA9"/>
    <w:rsid w:val="00CF05BE"/>
    <w:rsid w:val="00CF235F"/>
    <w:rsid w:val="00CF37C7"/>
    <w:rsid w:val="00D0402B"/>
    <w:rsid w:val="00D16CE4"/>
    <w:rsid w:val="00D23FA5"/>
    <w:rsid w:val="00D53DA5"/>
    <w:rsid w:val="00D57312"/>
    <w:rsid w:val="00D8554B"/>
    <w:rsid w:val="00D85BD0"/>
    <w:rsid w:val="00D90FF4"/>
    <w:rsid w:val="00DB0CF1"/>
    <w:rsid w:val="00DC30D0"/>
    <w:rsid w:val="00DD1A7C"/>
    <w:rsid w:val="00DE331C"/>
    <w:rsid w:val="00DE449D"/>
    <w:rsid w:val="00DF4290"/>
    <w:rsid w:val="00DF44D5"/>
    <w:rsid w:val="00E12861"/>
    <w:rsid w:val="00E14BE4"/>
    <w:rsid w:val="00E15FB7"/>
    <w:rsid w:val="00E20D3A"/>
    <w:rsid w:val="00E3736B"/>
    <w:rsid w:val="00E44527"/>
    <w:rsid w:val="00E52D93"/>
    <w:rsid w:val="00E655A2"/>
    <w:rsid w:val="00E73206"/>
    <w:rsid w:val="00E85010"/>
    <w:rsid w:val="00E952F8"/>
    <w:rsid w:val="00EA0ACE"/>
    <w:rsid w:val="00EA5EF4"/>
    <w:rsid w:val="00EB4848"/>
    <w:rsid w:val="00EE182A"/>
    <w:rsid w:val="00EE62CE"/>
    <w:rsid w:val="00EF2C8E"/>
    <w:rsid w:val="00EF4407"/>
    <w:rsid w:val="00EF4AB1"/>
    <w:rsid w:val="00F12081"/>
    <w:rsid w:val="00F30AE2"/>
    <w:rsid w:val="00F3101A"/>
    <w:rsid w:val="00F408FA"/>
    <w:rsid w:val="00F5290C"/>
    <w:rsid w:val="00F52B26"/>
    <w:rsid w:val="00F53386"/>
    <w:rsid w:val="00F657CC"/>
    <w:rsid w:val="00F657CF"/>
    <w:rsid w:val="00F66E87"/>
    <w:rsid w:val="00F76D6A"/>
    <w:rsid w:val="00F77F42"/>
    <w:rsid w:val="00F90551"/>
    <w:rsid w:val="00F90A8F"/>
    <w:rsid w:val="00F91B1B"/>
    <w:rsid w:val="00F950DB"/>
    <w:rsid w:val="00F9533F"/>
    <w:rsid w:val="00F965C2"/>
    <w:rsid w:val="00FA1EA4"/>
    <w:rsid w:val="00FA3E2C"/>
    <w:rsid w:val="00FA67CA"/>
    <w:rsid w:val="00FB31DC"/>
    <w:rsid w:val="00FB3ACA"/>
    <w:rsid w:val="00FB45EF"/>
    <w:rsid w:val="00FB7C93"/>
    <w:rsid w:val="00FC5EF0"/>
    <w:rsid w:val="00FC6AA6"/>
    <w:rsid w:val="00FD5285"/>
    <w:rsid w:val="00FD5A36"/>
    <w:rsid w:val="00FD61EE"/>
    <w:rsid w:val="00FD62F2"/>
    <w:rsid w:val="00FE07C4"/>
    <w:rsid w:val="00FE69AD"/>
    <w:rsid w:val="00FF3BE0"/>
    <w:rsid w:val="00FF4EC7"/>
    <w:rsid w:val="01434153"/>
    <w:rsid w:val="03C07320"/>
    <w:rsid w:val="05B72B64"/>
    <w:rsid w:val="081D6829"/>
    <w:rsid w:val="08CE2293"/>
    <w:rsid w:val="08CF42E4"/>
    <w:rsid w:val="0B2F5313"/>
    <w:rsid w:val="0FAD4B66"/>
    <w:rsid w:val="10EB52E3"/>
    <w:rsid w:val="122B47C5"/>
    <w:rsid w:val="12B90D52"/>
    <w:rsid w:val="12D31E50"/>
    <w:rsid w:val="1551417F"/>
    <w:rsid w:val="17115839"/>
    <w:rsid w:val="1A933013"/>
    <w:rsid w:val="1B182AEA"/>
    <w:rsid w:val="1BAC583A"/>
    <w:rsid w:val="1E3F0282"/>
    <w:rsid w:val="1EB143B0"/>
    <w:rsid w:val="1F1052FA"/>
    <w:rsid w:val="207C4E95"/>
    <w:rsid w:val="258128B7"/>
    <w:rsid w:val="25B42BA8"/>
    <w:rsid w:val="277B3E41"/>
    <w:rsid w:val="29E70D2D"/>
    <w:rsid w:val="2AAC0DFB"/>
    <w:rsid w:val="2B8F72FF"/>
    <w:rsid w:val="2CF16A00"/>
    <w:rsid w:val="2E5E7B47"/>
    <w:rsid w:val="2F79498F"/>
    <w:rsid w:val="30A70952"/>
    <w:rsid w:val="33F7589E"/>
    <w:rsid w:val="38920C23"/>
    <w:rsid w:val="3A033A7E"/>
    <w:rsid w:val="3C5D10F6"/>
    <w:rsid w:val="3CBC0069"/>
    <w:rsid w:val="3F7B2782"/>
    <w:rsid w:val="4052011E"/>
    <w:rsid w:val="41F45D36"/>
    <w:rsid w:val="43376B0C"/>
    <w:rsid w:val="43A71EB6"/>
    <w:rsid w:val="4440053D"/>
    <w:rsid w:val="4576474C"/>
    <w:rsid w:val="45A15562"/>
    <w:rsid w:val="46A76CAC"/>
    <w:rsid w:val="47C00D53"/>
    <w:rsid w:val="48724513"/>
    <w:rsid w:val="4A4147CB"/>
    <w:rsid w:val="4DCB5097"/>
    <w:rsid w:val="4E064847"/>
    <w:rsid w:val="50323658"/>
    <w:rsid w:val="50401668"/>
    <w:rsid w:val="506B2473"/>
    <w:rsid w:val="506F03E4"/>
    <w:rsid w:val="50831EE2"/>
    <w:rsid w:val="514628E4"/>
    <w:rsid w:val="52B85388"/>
    <w:rsid w:val="55814201"/>
    <w:rsid w:val="55A25955"/>
    <w:rsid w:val="583965C3"/>
    <w:rsid w:val="583C2DD8"/>
    <w:rsid w:val="58F35892"/>
    <w:rsid w:val="59046670"/>
    <w:rsid w:val="5AC17309"/>
    <w:rsid w:val="5B3B4DD4"/>
    <w:rsid w:val="5B9A70AA"/>
    <w:rsid w:val="5DBB6B95"/>
    <w:rsid w:val="5EC56226"/>
    <w:rsid w:val="5EE61CBE"/>
    <w:rsid w:val="5F341D56"/>
    <w:rsid w:val="608440FC"/>
    <w:rsid w:val="61432D47"/>
    <w:rsid w:val="61610E04"/>
    <w:rsid w:val="64102512"/>
    <w:rsid w:val="6619591A"/>
    <w:rsid w:val="6713053A"/>
    <w:rsid w:val="687868BF"/>
    <w:rsid w:val="6A966FEC"/>
    <w:rsid w:val="6B1E1209"/>
    <w:rsid w:val="6B543570"/>
    <w:rsid w:val="6BB6131F"/>
    <w:rsid w:val="6C673634"/>
    <w:rsid w:val="6C6E0F7D"/>
    <w:rsid w:val="6C6E7267"/>
    <w:rsid w:val="6E6C0765"/>
    <w:rsid w:val="70BE02D7"/>
    <w:rsid w:val="71F523BB"/>
    <w:rsid w:val="72955569"/>
    <w:rsid w:val="75DB2CD0"/>
    <w:rsid w:val="78221E42"/>
    <w:rsid w:val="78252656"/>
    <w:rsid w:val="7BB56AC9"/>
    <w:rsid w:val="7C057EF9"/>
    <w:rsid w:val="7C0E6D44"/>
    <w:rsid w:val="7DC96D76"/>
    <w:rsid w:val="7FB9512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qFormat="1" w:unhideWhenUsed="0" w:uiPriority="99" w:semiHidden="0"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uiPriority="99" w:name="FollowedHyperlink" w:locked="1"/>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 w:hAnsi="??" w:eastAsia="宋体" w:cs="Times New Roman"/>
      <w:kern w:val="2"/>
      <w:sz w:val="21"/>
      <w:szCs w:val="22"/>
      <w:lang w:val="en-US" w:eastAsia="zh-CN" w:bidi="ar-SA"/>
    </w:rPr>
  </w:style>
  <w:style w:type="paragraph" w:styleId="3">
    <w:name w:val="heading 1"/>
    <w:basedOn w:val="1"/>
    <w:next w:val="1"/>
    <w:link w:val="37"/>
    <w:qFormat/>
    <w:uiPriority w:val="99"/>
    <w:pPr>
      <w:spacing w:line="480" w:lineRule="atLeast"/>
      <w:outlineLvl w:val="0"/>
    </w:pPr>
    <w:rPr>
      <w:rFonts w:ascii="宋体" w:hAnsi="宋体"/>
      <w:b/>
      <w:sz w:val="30"/>
      <w:szCs w:val="30"/>
    </w:rPr>
  </w:style>
  <w:style w:type="paragraph" w:styleId="4">
    <w:name w:val="heading 2"/>
    <w:basedOn w:val="3"/>
    <w:next w:val="1"/>
    <w:link w:val="38"/>
    <w:qFormat/>
    <w:uiPriority w:val="99"/>
    <w:pPr>
      <w:outlineLvl w:val="1"/>
    </w:pPr>
    <w:rPr>
      <w:sz w:val="28"/>
    </w:rPr>
  </w:style>
  <w:style w:type="paragraph" w:styleId="5">
    <w:name w:val="heading 3"/>
    <w:basedOn w:val="1"/>
    <w:next w:val="1"/>
    <w:link w:val="39"/>
    <w:qFormat/>
    <w:uiPriority w:val="99"/>
    <w:pPr>
      <w:spacing w:line="480" w:lineRule="atLeast"/>
      <w:outlineLvl w:val="2"/>
    </w:pPr>
    <w:rPr>
      <w:rFonts w:ascii="宋体" w:hAnsi="宋体"/>
      <w:sz w:val="24"/>
      <w:szCs w:val="24"/>
    </w:rPr>
  </w:style>
  <w:style w:type="paragraph" w:styleId="6">
    <w:name w:val="heading 4"/>
    <w:basedOn w:val="1"/>
    <w:next w:val="1"/>
    <w:link w:val="40"/>
    <w:qFormat/>
    <w:uiPriority w:val="99"/>
    <w:pPr>
      <w:keepNext/>
      <w:keepLines/>
      <w:spacing w:before="280" w:after="290" w:line="376" w:lineRule="auto"/>
      <w:outlineLvl w:val="3"/>
    </w:pPr>
    <w:rPr>
      <w:rFonts w:ascii="Arial" w:hAnsi="Arial" w:eastAsia="黑体"/>
      <w:b/>
      <w:bCs/>
      <w:sz w:val="28"/>
      <w:szCs w:val="28"/>
    </w:rPr>
  </w:style>
  <w:style w:type="character" w:default="1" w:styleId="29">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link w:val="76"/>
    <w:qFormat/>
    <w:uiPriority w:val="99"/>
    <w:pPr>
      <w:ind w:firstLine="420" w:firstLineChars="200"/>
    </w:pPr>
    <w:rPr>
      <w:szCs w:val="24"/>
    </w:rPr>
  </w:style>
  <w:style w:type="paragraph" w:styleId="7">
    <w:name w:val="annotation subject"/>
    <w:basedOn w:val="8"/>
    <w:next w:val="8"/>
    <w:link w:val="80"/>
    <w:qFormat/>
    <w:uiPriority w:val="99"/>
    <w:rPr>
      <w:b/>
      <w:bCs/>
    </w:rPr>
  </w:style>
  <w:style w:type="paragraph" w:styleId="8">
    <w:name w:val="annotation text"/>
    <w:basedOn w:val="1"/>
    <w:link w:val="59"/>
    <w:qFormat/>
    <w:uiPriority w:val="99"/>
    <w:pPr>
      <w:jc w:val="left"/>
    </w:pPr>
    <w:rPr>
      <w:kern w:val="0"/>
      <w:sz w:val="24"/>
      <w:szCs w:val="24"/>
    </w:rPr>
  </w:style>
  <w:style w:type="paragraph" w:styleId="9">
    <w:name w:val="caption"/>
    <w:basedOn w:val="1"/>
    <w:next w:val="1"/>
    <w:link w:val="77"/>
    <w:qFormat/>
    <w:uiPriority w:val="99"/>
    <w:pPr>
      <w:jc w:val="center"/>
    </w:pPr>
    <w:rPr>
      <w:rFonts w:ascii="宋体" w:hAnsi="Arial" w:cs="Arial"/>
    </w:rPr>
  </w:style>
  <w:style w:type="paragraph" w:styleId="10">
    <w:name w:val="Document Map"/>
    <w:basedOn w:val="1"/>
    <w:link w:val="81"/>
    <w:semiHidden/>
    <w:qFormat/>
    <w:uiPriority w:val="99"/>
    <w:pPr>
      <w:shd w:val="clear" w:color="auto" w:fill="000080"/>
    </w:pPr>
    <w:rPr>
      <w:rFonts w:ascii="Times New Roman" w:hAnsi="Times New Roman"/>
      <w:kern w:val="0"/>
      <w:sz w:val="24"/>
      <w:szCs w:val="24"/>
    </w:rPr>
  </w:style>
  <w:style w:type="paragraph" w:styleId="11">
    <w:name w:val="Body Text 3"/>
    <w:basedOn w:val="1"/>
    <w:link w:val="44"/>
    <w:qFormat/>
    <w:uiPriority w:val="99"/>
    <w:pPr>
      <w:spacing w:after="120"/>
    </w:pPr>
    <w:rPr>
      <w:rFonts w:ascii="Times New Roman" w:hAnsi="Times New Roman"/>
      <w:sz w:val="16"/>
      <w:szCs w:val="16"/>
    </w:rPr>
  </w:style>
  <w:style w:type="paragraph" w:styleId="12">
    <w:name w:val="Body Text"/>
    <w:basedOn w:val="1"/>
    <w:link w:val="45"/>
    <w:qFormat/>
    <w:uiPriority w:val="99"/>
    <w:rPr>
      <w:rFonts w:ascii="Times New Roman" w:hAnsi="Times New Roman"/>
      <w:sz w:val="32"/>
      <w:szCs w:val="20"/>
    </w:rPr>
  </w:style>
  <w:style w:type="paragraph" w:styleId="13">
    <w:name w:val="Body Text Indent"/>
    <w:basedOn w:val="1"/>
    <w:link w:val="46"/>
    <w:qFormat/>
    <w:uiPriority w:val="99"/>
    <w:pPr>
      <w:spacing w:line="300" w:lineRule="exact"/>
      <w:ind w:firstLine="538"/>
    </w:pPr>
    <w:rPr>
      <w:rFonts w:ascii="宋体" w:hAnsi="Times New Roman"/>
      <w:sz w:val="24"/>
      <w:szCs w:val="24"/>
    </w:rPr>
  </w:style>
  <w:style w:type="paragraph" w:styleId="14">
    <w:name w:val="Block Text"/>
    <w:basedOn w:val="1"/>
    <w:qFormat/>
    <w:uiPriority w:val="99"/>
    <w:pPr>
      <w:adjustRightInd w:val="0"/>
      <w:snapToGrid w:val="0"/>
      <w:spacing w:line="440" w:lineRule="exact"/>
      <w:ind w:left="402" w:right="108" w:firstLine="450"/>
    </w:pPr>
    <w:rPr>
      <w:rFonts w:ascii="宋体" w:hAnsi="宋体"/>
      <w:sz w:val="24"/>
      <w:szCs w:val="20"/>
    </w:rPr>
  </w:style>
  <w:style w:type="paragraph" w:styleId="15">
    <w:name w:val="toc 3"/>
    <w:basedOn w:val="1"/>
    <w:next w:val="1"/>
    <w:qFormat/>
    <w:uiPriority w:val="39"/>
    <w:pPr>
      <w:widowControl/>
      <w:spacing w:after="100" w:line="259" w:lineRule="auto"/>
      <w:ind w:left="440"/>
      <w:jc w:val="left"/>
    </w:pPr>
    <w:rPr>
      <w:kern w:val="0"/>
      <w:sz w:val="22"/>
    </w:rPr>
  </w:style>
  <w:style w:type="paragraph" w:styleId="16">
    <w:name w:val="Plain Text"/>
    <w:basedOn w:val="1"/>
    <w:link w:val="79"/>
    <w:qFormat/>
    <w:uiPriority w:val="99"/>
    <w:rPr>
      <w:rFonts w:ascii="宋体" w:hAnsi="Courier New"/>
      <w:kern w:val="0"/>
      <w:sz w:val="20"/>
      <w:szCs w:val="20"/>
    </w:rPr>
  </w:style>
  <w:style w:type="paragraph" w:styleId="17">
    <w:name w:val="Date"/>
    <w:basedOn w:val="1"/>
    <w:next w:val="1"/>
    <w:link w:val="48"/>
    <w:qFormat/>
    <w:uiPriority w:val="99"/>
    <w:pPr>
      <w:ind w:left="100" w:leftChars="2500"/>
    </w:pPr>
  </w:style>
  <w:style w:type="paragraph" w:styleId="18">
    <w:name w:val="Body Text Indent 2"/>
    <w:basedOn w:val="1"/>
    <w:link w:val="49"/>
    <w:qFormat/>
    <w:uiPriority w:val="99"/>
    <w:pPr>
      <w:ind w:left="-140" w:firstLine="560"/>
      <w:jc w:val="left"/>
      <w:outlineLvl w:val="0"/>
    </w:pPr>
    <w:rPr>
      <w:rFonts w:ascii="Times New Roman" w:hAnsi="Times New Roman"/>
      <w:sz w:val="28"/>
      <w:szCs w:val="20"/>
    </w:rPr>
  </w:style>
  <w:style w:type="paragraph" w:styleId="19">
    <w:name w:val="Balloon Text"/>
    <w:basedOn w:val="1"/>
    <w:link w:val="50"/>
    <w:qFormat/>
    <w:uiPriority w:val="99"/>
    <w:rPr>
      <w:sz w:val="18"/>
      <w:szCs w:val="18"/>
    </w:rPr>
  </w:style>
  <w:style w:type="paragraph" w:styleId="20">
    <w:name w:val="footer"/>
    <w:basedOn w:val="1"/>
    <w:link w:val="51"/>
    <w:qFormat/>
    <w:uiPriority w:val="99"/>
    <w:pPr>
      <w:tabs>
        <w:tab w:val="center" w:pos="4153"/>
        <w:tab w:val="right" w:pos="8306"/>
      </w:tabs>
      <w:snapToGrid w:val="0"/>
      <w:jc w:val="left"/>
    </w:pPr>
    <w:rPr>
      <w:sz w:val="18"/>
      <w:szCs w:val="18"/>
    </w:rPr>
  </w:style>
  <w:style w:type="paragraph" w:styleId="21">
    <w:name w:val="header"/>
    <w:basedOn w:val="1"/>
    <w:link w:val="52"/>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sz w:val="24"/>
      <w:szCs w:val="20"/>
    </w:rPr>
  </w:style>
  <w:style w:type="paragraph" w:styleId="23">
    <w:name w:val="List"/>
    <w:basedOn w:val="1"/>
    <w:qFormat/>
    <w:uiPriority w:val="99"/>
    <w:pPr>
      <w:spacing w:line="360" w:lineRule="exact"/>
      <w:ind w:firstLine="38" w:firstLineChars="18"/>
      <w:jc w:val="left"/>
    </w:pPr>
    <w:rPr>
      <w:rFonts w:ascii="宋体" w:hAnsi="Times New Roman"/>
      <w:szCs w:val="21"/>
    </w:rPr>
  </w:style>
  <w:style w:type="paragraph" w:styleId="24">
    <w:name w:val="Body Text Indent 3"/>
    <w:basedOn w:val="1"/>
    <w:link w:val="53"/>
    <w:qFormat/>
    <w:uiPriority w:val="99"/>
    <w:pPr>
      <w:ind w:firstLine="540"/>
    </w:pPr>
    <w:rPr>
      <w:rFonts w:ascii="宋体" w:hAnsi="Times New Roman"/>
      <w:sz w:val="28"/>
      <w:szCs w:val="20"/>
    </w:rPr>
  </w:style>
  <w:style w:type="paragraph" w:styleId="25">
    <w:name w:val="toc 2"/>
    <w:basedOn w:val="1"/>
    <w:next w:val="1"/>
    <w:qFormat/>
    <w:uiPriority w:val="39"/>
    <w:pPr>
      <w:ind w:left="420" w:leftChars="200"/>
    </w:pPr>
  </w:style>
  <w:style w:type="paragraph" w:styleId="26">
    <w:name w:val="Body Text 2"/>
    <w:basedOn w:val="1"/>
    <w:link w:val="54"/>
    <w:qFormat/>
    <w:uiPriority w:val="99"/>
    <w:rPr>
      <w:rFonts w:ascii="Times New Roman" w:hAnsi="Times New Roman"/>
      <w:szCs w:val="20"/>
    </w:rPr>
  </w:style>
  <w:style w:type="paragraph" w:styleId="2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8">
    <w:name w:val="index 1"/>
    <w:basedOn w:val="1"/>
    <w:next w:val="1"/>
    <w:qFormat/>
    <w:uiPriority w:val="99"/>
    <w:pPr>
      <w:spacing w:line="192" w:lineRule="auto"/>
      <w:jc w:val="center"/>
    </w:pPr>
    <w:rPr>
      <w:rFonts w:ascii="宋体" w:hAnsi="宋体"/>
      <w:szCs w:val="20"/>
    </w:rPr>
  </w:style>
  <w:style w:type="character" w:styleId="30">
    <w:name w:val="Strong"/>
    <w:basedOn w:val="29"/>
    <w:qFormat/>
    <w:uiPriority w:val="99"/>
    <w:rPr>
      <w:rFonts w:cs="Times New Roman"/>
      <w:b/>
      <w:bCs/>
    </w:rPr>
  </w:style>
  <w:style w:type="character" w:styleId="31">
    <w:name w:val="page number"/>
    <w:basedOn w:val="29"/>
    <w:qFormat/>
    <w:uiPriority w:val="99"/>
    <w:rPr>
      <w:rFonts w:cs="Times New Roman"/>
    </w:rPr>
  </w:style>
  <w:style w:type="character" w:styleId="32">
    <w:name w:val="Emphasis"/>
    <w:basedOn w:val="29"/>
    <w:qFormat/>
    <w:uiPriority w:val="99"/>
    <w:rPr>
      <w:rFonts w:cs="Times New Roman"/>
      <w:i/>
      <w:iCs/>
    </w:rPr>
  </w:style>
  <w:style w:type="character" w:styleId="33">
    <w:name w:val="Hyperlink"/>
    <w:basedOn w:val="29"/>
    <w:qFormat/>
    <w:uiPriority w:val="99"/>
    <w:rPr>
      <w:rFonts w:cs="Times New Roman"/>
      <w:color w:val="000000"/>
      <w:u w:val="single"/>
    </w:rPr>
  </w:style>
  <w:style w:type="character" w:styleId="34">
    <w:name w:val="annotation reference"/>
    <w:basedOn w:val="29"/>
    <w:qFormat/>
    <w:uiPriority w:val="99"/>
    <w:rPr>
      <w:rFonts w:cs="Times New Roman"/>
      <w:sz w:val="21"/>
      <w:szCs w:val="21"/>
    </w:rPr>
  </w:style>
  <w:style w:type="table" w:styleId="36">
    <w:name w:val="Table Grid"/>
    <w:basedOn w:val="3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7">
    <w:name w:val="标题 1 Char"/>
    <w:basedOn w:val="29"/>
    <w:link w:val="3"/>
    <w:qFormat/>
    <w:locked/>
    <w:uiPriority w:val="99"/>
    <w:rPr>
      <w:rFonts w:ascii="宋体" w:hAnsi="宋体" w:eastAsia="宋体" w:cs="Times New Roman"/>
      <w:b/>
      <w:sz w:val="30"/>
      <w:szCs w:val="30"/>
    </w:rPr>
  </w:style>
  <w:style w:type="character" w:customStyle="1" w:styleId="38">
    <w:name w:val="标题 2 Char"/>
    <w:basedOn w:val="29"/>
    <w:link w:val="4"/>
    <w:qFormat/>
    <w:locked/>
    <w:uiPriority w:val="99"/>
    <w:rPr>
      <w:rFonts w:ascii="宋体" w:hAnsi="宋体" w:eastAsia="宋体" w:cs="Times New Roman"/>
      <w:b/>
      <w:sz w:val="30"/>
      <w:szCs w:val="30"/>
    </w:rPr>
  </w:style>
  <w:style w:type="character" w:customStyle="1" w:styleId="39">
    <w:name w:val="标题 3 Char"/>
    <w:basedOn w:val="29"/>
    <w:link w:val="5"/>
    <w:qFormat/>
    <w:locked/>
    <w:uiPriority w:val="99"/>
    <w:rPr>
      <w:rFonts w:ascii="宋体" w:hAnsi="宋体" w:eastAsia="宋体" w:cs="Times New Roman"/>
      <w:sz w:val="24"/>
      <w:szCs w:val="24"/>
    </w:rPr>
  </w:style>
  <w:style w:type="character" w:customStyle="1" w:styleId="40">
    <w:name w:val="标题 4 Char"/>
    <w:basedOn w:val="29"/>
    <w:link w:val="6"/>
    <w:qFormat/>
    <w:locked/>
    <w:uiPriority w:val="99"/>
    <w:rPr>
      <w:rFonts w:ascii="Arial" w:hAnsi="Arial" w:eastAsia="黑体" w:cs="Times New Roman"/>
      <w:b/>
      <w:bCs/>
      <w:sz w:val="28"/>
      <w:szCs w:val="28"/>
    </w:rPr>
  </w:style>
  <w:style w:type="character" w:customStyle="1" w:styleId="41">
    <w:name w:val="Comment Text Char"/>
    <w:basedOn w:val="29"/>
    <w:link w:val="8"/>
    <w:qFormat/>
    <w:locked/>
    <w:uiPriority w:val="99"/>
    <w:rPr>
      <w:rFonts w:cs="Times New Roman"/>
      <w:sz w:val="24"/>
    </w:rPr>
  </w:style>
  <w:style w:type="character" w:customStyle="1" w:styleId="42">
    <w:name w:val="Comment Subject Char"/>
    <w:basedOn w:val="41"/>
    <w:link w:val="7"/>
    <w:qFormat/>
    <w:locked/>
    <w:uiPriority w:val="99"/>
    <w:rPr>
      <w:b/>
    </w:rPr>
  </w:style>
  <w:style w:type="character" w:customStyle="1" w:styleId="43">
    <w:name w:val="Document Map Char"/>
    <w:basedOn w:val="29"/>
    <w:link w:val="10"/>
    <w:semiHidden/>
    <w:qFormat/>
    <w:locked/>
    <w:uiPriority w:val="99"/>
    <w:rPr>
      <w:rFonts w:ascii="Times New Roman" w:hAnsi="Times New Roman" w:eastAsia="宋体" w:cs="Times New Roman"/>
      <w:sz w:val="24"/>
      <w:shd w:val="clear" w:color="auto" w:fill="000080"/>
    </w:rPr>
  </w:style>
  <w:style w:type="character" w:customStyle="1" w:styleId="44">
    <w:name w:val="正文文本 3 Char"/>
    <w:basedOn w:val="29"/>
    <w:link w:val="11"/>
    <w:qFormat/>
    <w:locked/>
    <w:uiPriority w:val="99"/>
    <w:rPr>
      <w:rFonts w:ascii="Times New Roman" w:hAnsi="Times New Roman" w:eastAsia="宋体" w:cs="Times New Roman"/>
      <w:sz w:val="16"/>
      <w:szCs w:val="16"/>
    </w:rPr>
  </w:style>
  <w:style w:type="character" w:customStyle="1" w:styleId="45">
    <w:name w:val="正文文本 Char"/>
    <w:basedOn w:val="29"/>
    <w:link w:val="12"/>
    <w:qFormat/>
    <w:locked/>
    <w:uiPriority w:val="99"/>
    <w:rPr>
      <w:rFonts w:ascii="Times New Roman" w:hAnsi="Times New Roman" w:eastAsia="宋体" w:cs="Times New Roman"/>
      <w:sz w:val="20"/>
      <w:szCs w:val="20"/>
    </w:rPr>
  </w:style>
  <w:style w:type="character" w:customStyle="1" w:styleId="46">
    <w:name w:val="正文文本缩进 Char"/>
    <w:basedOn w:val="29"/>
    <w:link w:val="13"/>
    <w:qFormat/>
    <w:locked/>
    <w:uiPriority w:val="99"/>
    <w:rPr>
      <w:rFonts w:ascii="宋体" w:hAnsi="Times New Roman" w:eastAsia="宋体" w:cs="Times New Roman"/>
      <w:sz w:val="24"/>
      <w:szCs w:val="24"/>
    </w:rPr>
  </w:style>
  <w:style w:type="character" w:customStyle="1" w:styleId="47">
    <w:name w:val="Plain Text Char"/>
    <w:basedOn w:val="29"/>
    <w:link w:val="16"/>
    <w:qFormat/>
    <w:locked/>
    <w:uiPriority w:val="99"/>
    <w:rPr>
      <w:rFonts w:ascii="宋体" w:hAnsi="Courier New" w:eastAsia="宋体" w:cs="Times New Roman"/>
    </w:rPr>
  </w:style>
  <w:style w:type="character" w:customStyle="1" w:styleId="48">
    <w:name w:val="日期 Char"/>
    <w:basedOn w:val="29"/>
    <w:link w:val="17"/>
    <w:qFormat/>
    <w:locked/>
    <w:uiPriority w:val="99"/>
    <w:rPr>
      <w:rFonts w:cs="Times New Roman"/>
    </w:rPr>
  </w:style>
  <w:style w:type="character" w:customStyle="1" w:styleId="49">
    <w:name w:val="正文文本缩进 2 Char"/>
    <w:basedOn w:val="29"/>
    <w:link w:val="18"/>
    <w:qFormat/>
    <w:locked/>
    <w:uiPriority w:val="99"/>
    <w:rPr>
      <w:rFonts w:ascii="Times New Roman" w:hAnsi="Times New Roman" w:eastAsia="宋体" w:cs="Times New Roman"/>
      <w:sz w:val="20"/>
      <w:szCs w:val="20"/>
    </w:rPr>
  </w:style>
  <w:style w:type="character" w:customStyle="1" w:styleId="50">
    <w:name w:val="批注框文本 Char"/>
    <w:basedOn w:val="29"/>
    <w:link w:val="19"/>
    <w:qFormat/>
    <w:locked/>
    <w:uiPriority w:val="99"/>
    <w:rPr>
      <w:rFonts w:cs="Times New Roman"/>
      <w:sz w:val="18"/>
      <w:szCs w:val="18"/>
    </w:rPr>
  </w:style>
  <w:style w:type="character" w:customStyle="1" w:styleId="51">
    <w:name w:val="页脚 Char"/>
    <w:basedOn w:val="29"/>
    <w:link w:val="20"/>
    <w:qFormat/>
    <w:locked/>
    <w:uiPriority w:val="99"/>
    <w:rPr>
      <w:rFonts w:cs="Times New Roman"/>
      <w:sz w:val="18"/>
      <w:szCs w:val="18"/>
    </w:rPr>
  </w:style>
  <w:style w:type="character" w:customStyle="1" w:styleId="52">
    <w:name w:val="页眉 Char"/>
    <w:basedOn w:val="29"/>
    <w:link w:val="21"/>
    <w:qFormat/>
    <w:locked/>
    <w:uiPriority w:val="99"/>
    <w:rPr>
      <w:rFonts w:cs="Times New Roman"/>
      <w:sz w:val="18"/>
      <w:szCs w:val="18"/>
    </w:rPr>
  </w:style>
  <w:style w:type="character" w:customStyle="1" w:styleId="53">
    <w:name w:val="正文文本缩进 3 Char"/>
    <w:basedOn w:val="29"/>
    <w:link w:val="24"/>
    <w:qFormat/>
    <w:locked/>
    <w:uiPriority w:val="99"/>
    <w:rPr>
      <w:rFonts w:ascii="宋体" w:hAnsi="Times New Roman" w:eastAsia="宋体" w:cs="Times New Roman"/>
      <w:sz w:val="20"/>
      <w:szCs w:val="20"/>
    </w:rPr>
  </w:style>
  <w:style w:type="character" w:customStyle="1" w:styleId="54">
    <w:name w:val="正文文本 2 Char"/>
    <w:basedOn w:val="29"/>
    <w:link w:val="26"/>
    <w:qFormat/>
    <w:locked/>
    <w:uiPriority w:val="99"/>
    <w:rPr>
      <w:rFonts w:ascii="Times New Roman" w:hAnsi="Times New Roman" w:eastAsia="宋体" w:cs="Times New Roman"/>
      <w:sz w:val="20"/>
      <w:szCs w:val="20"/>
    </w:rPr>
  </w:style>
  <w:style w:type="character" w:customStyle="1" w:styleId="55">
    <w:name w:val="apple-converted-space"/>
    <w:basedOn w:val="29"/>
    <w:qFormat/>
    <w:uiPriority w:val="99"/>
    <w:rPr>
      <w:rFonts w:cs="Times New Roman"/>
    </w:rPr>
  </w:style>
  <w:style w:type="character" w:customStyle="1" w:styleId="56">
    <w:name w:val="表内容@ Char"/>
    <w:basedOn w:val="29"/>
    <w:link w:val="57"/>
    <w:qFormat/>
    <w:locked/>
    <w:uiPriority w:val="99"/>
    <w:rPr>
      <w:rFonts w:ascii="宋体" w:hAnsi="宋体" w:eastAsia="宋体" w:cs="Arial"/>
      <w:sz w:val="21"/>
      <w:szCs w:val="21"/>
    </w:rPr>
  </w:style>
  <w:style w:type="paragraph" w:customStyle="1" w:styleId="57">
    <w:name w:val="表内容@"/>
    <w:basedOn w:val="1"/>
    <w:link w:val="56"/>
    <w:qFormat/>
    <w:uiPriority w:val="99"/>
    <w:pPr>
      <w:adjustRightInd w:val="0"/>
      <w:jc w:val="center"/>
    </w:pPr>
    <w:rPr>
      <w:rFonts w:ascii="宋体" w:hAnsi="宋体" w:cs="Arial"/>
      <w:szCs w:val="21"/>
    </w:rPr>
  </w:style>
  <w:style w:type="character" w:customStyle="1" w:styleId="58">
    <w:name w:val="t1"/>
    <w:qFormat/>
    <w:uiPriority w:val="99"/>
    <w:rPr>
      <w:sz w:val="28"/>
    </w:rPr>
  </w:style>
  <w:style w:type="character" w:customStyle="1" w:styleId="59">
    <w:name w:val="批注文字 Char"/>
    <w:basedOn w:val="29"/>
    <w:link w:val="8"/>
    <w:semiHidden/>
    <w:qFormat/>
    <w:locked/>
    <w:uiPriority w:val="99"/>
    <w:rPr>
      <w:rFonts w:cs="Times New Roman"/>
    </w:rPr>
  </w:style>
  <w:style w:type="character" w:customStyle="1" w:styleId="60">
    <w:name w:val="样式 正文@ + 首行缩进:  2 字符2 Char"/>
    <w:basedOn w:val="29"/>
    <w:link w:val="61"/>
    <w:qFormat/>
    <w:locked/>
    <w:uiPriority w:val="99"/>
    <w:rPr>
      <w:rFonts w:ascii="宋体" w:hAnsi="宋体" w:eastAsia="宋体" w:cs="宋体"/>
      <w:sz w:val="24"/>
    </w:rPr>
  </w:style>
  <w:style w:type="paragraph" w:customStyle="1" w:styleId="61">
    <w:name w:val="样式 正文@ + 首行缩进:  2 字符2"/>
    <w:basedOn w:val="1"/>
    <w:link w:val="60"/>
    <w:qFormat/>
    <w:uiPriority w:val="99"/>
    <w:pPr>
      <w:spacing w:line="360" w:lineRule="auto"/>
      <w:ind w:firstLine="480" w:firstLineChars="200"/>
    </w:pPr>
    <w:rPr>
      <w:rFonts w:ascii="宋体" w:hAnsi="宋体" w:cs="宋体"/>
      <w:sz w:val="24"/>
    </w:rPr>
  </w:style>
  <w:style w:type="character" w:customStyle="1" w:styleId="62">
    <w:name w:val="样式 样式 正文@ + 首行缩进:  2 字符 字距调整小四 紧缩量  0.2 磅 + 首行缩进:  2 字符 Char"/>
    <w:basedOn w:val="29"/>
    <w:link w:val="63"/>
    <w:qFormat/>
    <w:locked/>
    <w:uiPriority w:val="99"/>
    <w:rPr>
      <w:rFonts w:ascii="宋体" w:hAnsi="宋体" w:eastAsia="宋体" w:cs="宋体"/>
      <w:kern w:val="24"/>
      <w:sz w:val="24"/>
      <w:szCs w:val="24"/>
    </w:rPr>
  </w:style>
  <w:style w:type="paragraph" w:customStyle="1" w:styleId="63">
    <w:name w:val="样式 样式 正文@ + 首行缩进:  2 字符 字距调整小四 紧缩量  0.2 磅 + 首行缩进:  2 字符"/>
    <w:basedOn w:val="1"/>
    <w:link w:val="62"/>
    <w:qFormat/>
    <w:uiPriority w:val="99"/>
    <w:pPr>
      <w:spacing w:line="360" w:lineRule="auto"/>
      <w:ind w:firstLine="480" w:firstLineChars="200"/>
    </w:pPr>
    <w:rPr>
      <w:rFonts w:ascii="宋体" w:hAnsi="宋体" w:cs="宋体"/>
      <w:kern w:val="24"/>
      <w:sz w:val="24"/>
      <w:szCs w:val="24"/>
    </w:rPr>
  </w:style>
  <w:style w:type="character" w:customStyle="1" w:styleId="64">
    <w:name w:val="d1"/>
    <w:basedOn w:val="29"/>
    <w:qFormat/>
    <w:uiPriority w:val="99"/>
    <w:rPr>
      <w:rFonts w:ascii="??" w:hAnsi="??" w:cs="Times New Roman"/>
      <w:color w:val="5C5C5C"/>
      <w:sz w:val="23"/>
      <w:szCs w:val="23"/>
      <w:u w:val="none"/>
    </w:rPr>
  </w:style>
  <w:style w:type="character" w:customStyle="1" w:styleId="65">
    <w:name w:val="正文2 Char Char"/>
    <w:basedOn w:val="29"/>
    <w:link w:val="66"/>
    <w:qFormat/>
    <w:locked/>
    <w:uiPriority w:val="99"/>
    <w:rPr>
      <w:rFonts w:ascii="??" w:hAnsi="??"/>
      <w:spacing w:val="18"/>
      <w:kern w:val="2"/>
      <w:sz w:val="32"/>
      <w:szCs w:val="22"/>
      <w:lang w:val="en-US" w:eastAsia="zh-CN" w:bidi="ar-SA"/>
    </w:rPr>
  </w:style>
  <w:style w:type="paragraph" w:customStyle="1" w:styleId="66">
    <w:name w:val="正文2"/>
    <w:link w:val="65"/>
    <w:qFormat/>
    <w:uiPriority w:val="99"/>
    <w:pPr>
      <w:widowControl w:val="0"/>
      <w:suppressAutoHyphens/>
      <w:spacing w:line="520" w:lineRule="atLeast"/>
      <w:ind w:firstLine="680"/>
      <w:jc w:val="both"/>
    </w:pPr>
    <w:rPr>
      <w:rFonts w:ascii="??" w:hAnsi="??" w:eastAsia="宋体" w:cs="Times New Roman"/>
      <w:spacing w:val="18"/>
      <w:kern w:val="2"/>
      <w:sz w:val="32"/>
      <w:szCs w:val="22"/>
      <w:lang w:val="en-US" w:eastAsia="zh-CN" w:bidi="ar-SA"/>
    </w:rPr>
  </w:style>
  <w:style w:type="character" w:customStyle="1" w:styleId="67">
    <w:name w:val="表头 Char"/>
    <w:basedOn w:val="29"/>
    <w:link w:val="68"/>
    <w:qFormat/>
    <w:locked/>
    <w:uiPriority w:val="99"/>
    <w:rPr>
      <w:rFonts w:ascii="黑体" w:eastAsia="黑体" w:cs="Times New Roman"/>
      <w:sz w:val="24"/>
    </w:rPr>
  </w:style>
  <w:style w:type="paragraph" w:customStyle="1" w:styleId="68">
    <w:name w:val="表头"/>
    <w:basedOn w:val="1"/>
    <w:link w:val="67"/>
    <w:qFormat/>
    <w:uiPriority w:val="99"/>
    <w:pPr>
      <w:spacing w:line="360" w:lineRule="auto"/>
      <w:jc w:val="center"/>
    </w:pPr>
    <w:rPr>
      <w:rFonts w:ascii="黑体" w:eastAsia="黑体"/>
      <w:sz w:val="24"/>
    </w:rPr>
  </w:style>
  <w:style w:type="character" w:customStyle="1" w:styleId="69">
    <w:name w:val="样式 表图头@ + 段前: 0.5 行 Char"/>
    <w:basedOn w:val="29"/>
    <w:link w:val="70"/>
    <w:qFormat/>
    <w:locked/>
    <w:uiPriority w:val="99"/>
    <w:rPr>
      <w:rFonts w:ascii="宋体" w:hAnsi="宋体" w:eastAsia="宋体" w:cs="宋体"/>
    </w:rPr>
  </w:style>
  <w:style w:type="paragraph" w:customStyle="1" w:styleId="70">
    <w:name w:val="样式 表图头@ + 段前: 0.5 行"/>
    <w:basedOn w:val="1"/>
    <w:link w:val="69"/>
    <w:qFormat/>
    <w:uiPriority w:val="99"/>
    <w:pPr>
      <w:adjustRightInd w:val="0"/>
      <w:jc w:val="center"/>
    </w:pPr>
    <w:rPr>
      <w:rFonts w:ascii="宋体" w:hAnsi="宋体" w:cs="宋体"/>
    </w:rPr>
  </w:style>
  <w:style w:type="character" w:customStyle="1" w:styleId="71">
    <w:name w:val="style5"/>
    <w:basedOn w:val="29"/>
    <w:qFormat/>
    <w:uiPriority w:val="99"/>
    <w:rPr>
      <w:rFonts w:cs="Times New Roman"/>
    </w:rPr>
  </w:style>
  <w:style w:type="character" w:customStyle="1" w:styleId="72">
    <w:name w:val="正文1 Char"/>
    <w:basedOn w:val="29"/>
    <w:link w:val="73"/>
    <w:qFormat/>
    <w:locked/>
    <w:uiPriority w:val="99"/>
    <w:rPr>
      <w:rFonts w:eastAsia="宋体" w:cs="Times New Roman"/>
    </w:rPr>
  </w:style>
  <w:style w:type="paragraph" w:customStyle="1" w:styleId="73">
    <w:name w:val="正文1"/>
    <w:basedOn w:val="1"/>
    <w:link w:val="72"/>
    <w:qFormat/>
    <w:uiPriority w:val="99"/>
    <w:pPr>
      <w:adjustRightInd w:val="0"/>
      <w:snapToGrid w:val="0"/>
      <w:spacing w:line="500" w:lineRule="atLeast"/>
      <w:ind w:firstLine="567"/>
    </w:pPr>
  </w:style>
  <w:style w:type="character" w:customStyle="1" w:styleId="74">
    <w:name w:val="样式2 Char Char"/>
    <w:basedOn w:val="29"/>
    <w:link w:val="75"/>
    <w:qFormat/>
    <w:locked/>
    <w:uiPriority w:val="99"/>
    <w:rPr>
      <w:rFonts w:ascii="黑体" w:hAnsi="宋体" w:eastAsia="黑体" w:cs="Times New Roman"/>
      <w:bCs/>
      <w:sz w:val="24"/>
      <w:szCs w:val="24"/>
    </w:rPr>
  </w:style>
  <w:style w:type="paragraph" w:customStyle="1" w:styleId="75">
    <w:name w:val="样式2"/>
    <w:basedOn w:val="1"/>
    <w:link w:val="74"/>
    <w:qFormat/>
    <w:uiPriority w:val="99"/>
    <w:pPr>
      <w:spacing w:line="360" w:lineRule="auto"/>
      <w:ind w:firstLine="840" w:firstLineChars="350"/>
    </w:pPr>
    <w:rPr>
      <w:rFonts w:ascii="黑体" w:hAnsi="宋体" w:eastAsia="黑体"/>
      <w:bCs/>
      <w:sz w:val="24"/>
      <w:szCs w:val="24"/>
    </w:rPr>
  </w:style>
  <w:style w:type="character" w:customStyle="1" w:styleId="76">
    <w:name w:val="正文缩进 Char"/>
    <w:basedOn w:val="29"/>
    <w:link w:val="2"/>
    <w:qFormat/>
    <w:locked/>
    <w:uiPriority w:val="99"/>
    <w:rPr>
      <w:rFonts w:eastAsia="宋体" w:cs="Times New Roman"/>
      <w:sz w:val="24"/>
      <w:szCs w:val="24"/>
    </w:rPr>
  </w:style>
  <w:style w:type="character" w:customStyle="1" w:styleId="77">
    <w:name w:val="题注 Char"/>
    <w:basedOn w:val="29"/>
    <w:link w:val="9"/>
    <w:qFormat/>
    <w:locked/>
    <w:uiPriority w:val="99"/>
    <w:rPr>
      <w:rFonts w:ascii="宋体" w:hAnsi="Arial" w:eastAsia="宋体" w:cs="Arial"/>
    </w:rPr>
  </w:style>
  <w:style w:type="character" w:customStyle="1" w:styleId="78">
    <w:name w:val="纯文本 Char"/>
    <w:qFormat/>
    <w:uiPriority w:val="99"/>
    <w:rPr>
      <w:rFonts w:ascii="宋体" w:hAnsi="Courier New" w:eastAsia="宋体"/>
      <w:kern w:val="2"/>
      <w:sz w:val="21"/>
      <w:lang w:val="en-US" w:eastAsia="zh-CN"/>
    </w:rPr>
  </w:style>
  <w:style w:type="character" w:customStyle="1" w:styleId="79">
    <w:name w:val="纯文本 Char1"/>
    <w:basedOn w:val="29"/>
    <w:link w:val="16"/>
    <w:semiHidden/>
    <w:qFormat/>
    <w:locked/>
    <w:uiPriority w:val="99"/>
    <w:rPr>
      <w:rFonts w:ascii="宋体" w:hAnsi="Courier New" w:eastAsia="宋体" w:cs="Courier New"/>
      <w:sz w:val="21"/>
      <w:szCs w:val="21"/>
    </w:rPr>
  </w:style>
  <w:style w:type="character" w:customStyle="1" w:styleId="80">
    <w:name w:val="批注主题 Char"/>
    <w:basedOn w:val="41"/>
    <w:link w:val="7"/>
    <w:semiHidden/>
    <w:qFormat/>
    <w:locked/>
    <w:uiPriority w:val="99"/>
    <w:rPr>
      <w:b/>
      <w:bCs/>
      <w:szCs w:val="24"/>
    </w:rPr>
  </w:style>
  <w:style w:type="character" w:customStyle="1" w:styleId="81">
    <w:name w:val="文档结构图 Char"/>
    <w:basedOn w:val="29"/>
    <w:link w:val="10"/>
    <w:semiHidden/>
    <w:qFormat/>
    <w:locked/>
    <w:uiPriority w:val="99"/>
    <w:rPr>
      <w:rFonts w:ascii="Times New Roman" w:hAnsi="Times New Roman" w:cs="Times New Roman"/>
      <w:sz w:val="2"/>
    </w:rPr>
  </w:style>
  <w:style w:type="character" w:customStyle="1" w:styleId="82">
    <w:name w:val="批注文字 字符1"/>
    <w:basedOn w:val="29"/>
    <w:semiHidden/>
    <w:qFormat/>
    <w:uiPriority w:val="99"/>
    <w:rPr>
      <w:rFonts w:cs="Times New Roman"/>
    </w:rPr>
  </w:style>
  <w:style w:type="character" w:customStyle="1" w:styleId="83">
    <w:name w:val="批注主题 字符1"/>
    <w:basedOn w:val="82"/>
    <w:semiHidden/>
    <w:qFormat/>
    <w:uiPriority w:val="99"/>
    <w:rPr>
      <w:b/>
      <w:bCs/>
    </w:rPr>
  </w:style>
  <w:style w:type="character" w:customStyle="1" w:styleId="84">
    <w:name w:val="纯文本 字符1"/>
    <w:basedOn w:val="29"/>
    <w:semiHidden/>
    <w:qFormat/>
    <w:uiPriority w:val="99"/>
    <w:rPr>
      <w:rFonts w:ascii="??" w:hAnsi="Courier New" w:cs="Courier New"/>
    </w:rPr>
  </w:style>
  <w:style w:type="paragraph" w:customStyle="1" w:styleId="85">
    <w:name w:val="文"/>
    <w:basedOn w:val="1"/>
    <w:qFormat/>
    <w:uiPriority w:val="99"/>
    <w:pPr>
      <w:spacing w:line="360" w:lineRule="auto"/>
      <w:ind w:firstLine="480" w:firstLineChars="200"/>
    </w:pPr>
    <w:rPr>
      <w:rFonts w:ascii="Times New Roman" w:hAnsi="Times New Roman"/>
      <w:sz w:val="24"/>
      <w:szCs w:val="20"/>
    </w:rPr>
  </w:style>
  <w:style w:type="paragraph" w:customStyle="1" w:styleId="86">
    <w:name w:val="CM6"/>
    <w:basedOn w:val="87"/>
    <w:next w:val="87"/>
    <w:qFormat/>
    <w:uiPriority w:val="99"/>
    <w:pPr>
      <w:spacing w:line="626" w:lineRule="atLeast"/>
    </w:pPr>
    <w:rPr>
      <w:rFonts w:hAnsi="Times New Roman" w:cs="Times New Roman"/>
      <w:color w:val="auto"/>
    </w:rPr>
  </w:style>
  <w:style w:type="paragraph" w:customStyle="1" w:styleId="87">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8">
    <w:name w:val="xl28"/>
    <w:basedOn w:val="1"/>
    <w:qFormat/>
    <w:uiPriority w:val="99"/>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kern w:val="0"/>
      <w:szCs w:val="20"/>
    </w:rPr>
  </w:style>
  <w:style w:type="paragraph" w:customStyle="1" w:styleId="89">
    <w:name w:val="样式3"/>
    <w:basedOn w:val="1"/>
    <w:qFormat/>
    <w:uiPriority w:val="99"/>
    <w:pPr>
      <w:spacing w:line="360" w:lineRule="auto"/>
      <w:ind w:firstLine="436" w:firstLineChars="200"/>
    </w:pPr>
    <w:rPr>
      <w:rFonts w:ascii="宋体" w:hAnsi="宋体" w:cs="宋体"/>
      <w:kern w:val="24"/>
      <w:sz w:val="24"/>
      <w:szCs w:val="24"/>
    </w:rPr>
  </w:style>
  <w:style w:type="paragraph" w:customStyle="1" w:styleId="90">
    <w:name w:val="p0"/>
    <w:basedOn w:val="1"/>
    <w:qFormat/>
    <w:uiPriority w:val="99"/>
    <w:pPr>
      <w:widowControl/>
    </w:pPr>
    <w:rPr>
      <w:rFonts w:ascii="Times New Roman" w:hAnsi="Times New Roman"/>
      <w:sz w:val="24"/>
      <w:szCs w:val="24"/>
    </w:rPr>
  </w:style>
  <w:style w:type="paragraph" w:customStyle="1" w:styleId="91">
    <w:name w:val="法规"/>
    <w:basedOn w:val="1"/>
    <w:qFormat/>
    <w:uiPriority w:val="99"/>
    <w:pPr>
      <w:tabs>
        <w:tab w:val="left" w:pos="400"/>
      </w:tabs>
      <w:spacing w:line="440" w:lineRule="exact"/>
      <w:ind w:firstLine="400"/>
    </w:pPr>
    <w:rPr>
      <w:rFonts w:ascii="Times New Roman" w:hAnsi="Times New Roman"/>
      <w:sz w:val="25"/>
      <w:szCs w:val="20"/>
    </w:rPr>
  </w:style>
  <w:style w:type="paragraph" w:customStyle="1" w:styleId="92">
    <w:name w:val="CM3"/>
    <w:basedOn w:val="87"/>
    <w:next w:val="87"/>
    <w:qFormat/>
    <w:uiPriority w:val="99"/>
    <w:pPr>
      <w:spacing w:line="468" w:lineRule="atLeast"/>
    </w:pPr>
    <w:rPr>
      <w:rFonts w:hAnsi="Times New Roman" w:cs="Times New Roman"/>
      <w:color w:val="auto"/>
    </w:rPr>
  </w:style>
  <w:style w:type="paragraph" w:customStyle="1" w:styleId="93">
    <w:name w:val="CM7"/>
    <w:basedOn w:val="87"/>
    <w:next w:val="87"/>
    <w:qFormat/>
    <w:uiPriority w:val="99"/>
    <w:pPr>
      <w:spacing w:line="471" w:lineRule="atLeast"/>
    </w:pPr>
    <w:rPr>
      <w:rFonts w:hAnsi="Times New Roman" w:cs="Times New Roman"/>
      <w:color w:val="auto"/>
    </w:rPr>
  </w:style>
  <w:style w:type="paragraph" w:customStyle="1" w:styleId="94">
    <w:name w:val="样式1"/>
    <w:basedOn w:val="1"/>
    <w:qFormat/>
    <w:uiPriority w:val="99"/>
    <w:pPr>
      <w:spacing w:line="360" w:lineRule="exact"/>
      <w:ind w:firstLine="420" w:firstLineChars="200"/>
    </w:pPr>
    <w:rPr>
      <w:rFonts w:ascii="Times New Roman" w:hAnsi="Times New Roman"/>
      <w:szCs w:val="24"/>
    </w:rPr>
  </w:style>
  <w:style w:type="paragraph" w:customStyle="1" w:styleId="95">
    <w:name w:val="CM8"/>
    <w:basedOn w:val="87"/>
    <w:next w:val="87"/>
    <w:qFormat/>
    <w:uiPriority w:val="99"/>
    <w:pPr>
      <w:spacing w:line="436" w:lineRule="atLeast"/>
    </w:pPr>
    <w:rPr>
      <w:rFonts w:ascii="仿宋_GB2312" w:hAnsi="Times New Roman" w:eastAsia="仿宋_GB2312" w:cs="Times New Roman"/>
      <w:color w:val="auto"/>
    </w:rPr>
  </w:style>
  <w:style w:type="paragraph" w:customStyle="1" w:styleId="96">
    <w:name w:val="Char1"/>
    <w:basedOn w:val="1"/>
    <w:qFormat/>
    <w:uiPriority w:val="99"/>
    <w:rPr>
      <w:rFonts w:ascii="Times New Roman" w:hAnsi="Times New Roman"/>
      <w:szCs w:val="24"/>
    </w:rPr>
  </w:style>
  <w:style w:type="paragraph" w:customStyle="1" w:styleId="97">
    <w:name w:val="2.1.1"/>
    <w:basedOn w:val="1"/>
    <w:qFormat/>
    <w:uiPriority w:val="99"/>
    <w:rPr>
      <w:rFonts w:ascii="Times New Roman" w:hAnsi="Times New Roman"/>
      <w:sz w:val="24"/>
      <w:szCs w:val="24"/>
    </w:rPr>
  </w:style>
  <w:style w:type="paragraph" w:customStyle="1" w:styleId="98">
    <w:name w:val="Char Char Char Char Char Char Char"/>
    <w:basedOn w:val="1"/>
    <w:qFormat/>
    <w:uiPriority w:val="99"/>
    <w:rPr>
      <w:rFonts w:ascii="Times New Roman" w:hAnsi="Times New Roman"/>
      <w:szCs w:val="24"/>
    </w:rPr>
  </w:style>
  <w:style w:type="paragraph" w:customStyle="1" w:styleId="99">
    <w:name w:val="表格文字"/>
    <w:basedOn w:val="1"/>
    <w:qFormat/>
    <w:uiPriority w:val="99"/>
    <w:pPr>
      <w:overflowPunct w:val="0"/>
      <w:topLinePunct/>
      <w:autoSpaceDE w:val="0"/>
      <w:autoSpaceDN w:val="0"/>
      <w:adjustRightInd w:val="0"/>
      <w:snapToGrid w:val="0"/>
      <w:spacing w:line="360" w:lineRule="exact"/>
      <w:jc w:val="center"/>
      <w:textAlignment w:val="baseline"/>
    </w:pPr>
    <w:rPr>
      <w:rFonts w:ascii="Times New Roman" w:hAnsi="Times New Roman"/>
      <w:spacing w:val="6"/>
      <w:kern w:val="0"/>
      <w:szCs w:val="20"/>
    </w:rPr>
  </w:style>
  <w:style w:type="paragraph" w:customStyle="1" w:styleId="100">
    <w:name w:val="CM112"/>
    <w:basedOn w:val="87"/>
    <w:next w:val="87"/>
    <w:qFormat/>
    <w:uiPriority w:val="99"/>
    <w:rPr>
      <w:rFonts w:ascii="仿宋_GB2312" w:hAnsi="Times New Roman" w:eastAsia="仿宋_GB2312" w:cs="Times New Roman"/>
      <w:color w:val="auto"/>
    </w:rPr>
  </w:style>
  <w:style w:type="paragraph" w:customStyle="1" w:styleId="101">
    <w:name w:val="正文内容"/>
    <w:basedOn w:val="1"/>
    <w:qFormat/>
    <w:uiPriority w:val="99"/>
    <w:pPr>
      <w:spacing w:line="360" w:lineRule="auto"/>
      <w:ind w:firstLine="624"/>
    </w:pPr>
    <w:rPr>
      <w:rFonts w:ascii="宋体" w:hAnsi="Times New Roman"/>
      <w:sz w:val="24"/>
      <w:szCs w:val="24"/>
    </w:rPr>
  </w:style>
  <w:style w:type="paragraph" w:customStyle="1" w:styleId="102">
    <w:name w:val="Char"/>
    <w:basedOn w:val="1"/>
    <w:qFormat/>
    <w:uiPriority w:val="99"/>
    <w:pPr>
      <w:widowControl/>
      <w:spacing w:after="160" w:line="240" w:lineRule="exact"/>
      <w:ind w:left="100" w:leftChars="-100" w:hanging="200" w:hangingChars="200"/>
      <w:jc w:val="left"/>
    </w:pPr>
    <w:rPr>
      <w:rFonts w:ascii="Times New Roman" w:hAnsi="Times New Roman"/>
      <w:szCs w:val="20"/>
    </w:rPr>
  </w:style>
  <w:style w:type="paragraph" w:customStyle="1" w:styleId="103">
    <w:name w:val="表格标题"/>
    <w:basedOn w:val="1"/>
    <w:qFormat/>
    <w:uiPriority w:val="99"/>
    <w:pPr>
      <w:spacing w:before="120"/>
      <w:jc w:val="center"/>
    </w:pPr>
    <w:rPr>
      <w:rFonts w:ascii="Times New Roman" w:hAnsi="Times New Roman"/>
      <w:sz w:val="24"/>
      <w:szCs w:val="20"/>
    </w:rPr>
  </w:style>
  <w:style w:type="paragraph" w:customStyle="1" w:styleId="104">
    <w:name w:val="大田正文"/>
    <w:basedOn w:val="13"/>
    <w:qFormat/>
    <w:uiPriority w:val="99"/>
    <w:pPr>
      <w:spacing w:line="500" w:lineRule="exact"/>
      <w:ind w:firstLine="567"/>
    </w:pPr>
    <w:rPr>
      <w:sz w:val="28"/>
      <w:szCs w:val="20"/>
    </w:rPr>
  </w:style>
  <w:style w:type="paragraph" w:customStyle="1" w:styleId="105">
    <w:name w:val="CM51"/>
    <w:basedOn w:val="87"/>
    <w:next w:val="87"/>
    <w:qFormat/>
    <w:uiPriority w:val="99"/>
    <w:rPr>
      <w:rFonts w:hAnsi="Times New Roman" w:cs="Times New Roman"/>
      <w:color w:val="auto"/>
    </w:rPr>
  </w:style>
  <w:style w:type="paragraph" w:styleId="106">
    <w:name w:val="List Paragraph"/>
    <w:basedOn w:val="1"/>
    <w:qFormat/>
    <w:uiPriority w:val="99"/>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107">
    <w:name w:val="Char2 Char Char Char"/>
    <w:basedOn w:val="1"/>
    <w:qFormat/>
    <w:uiPriority w:val="99"/>
    <w:pPr>
      <w:autoSpaceDE w:val="0"/>
      <w:autoSpaceDN w:val="0"/>
      <w:adjustRightInd w:val="0"/>
      <w:snapToGrid w:val="0"/>
      <w:spacing w:before="50" w:after="50" w:line="360" w:lineRule="auto"/>
      <w:ind w:firstLine="560" w:firstLineChars="200"/>
    </w:pPr>
    <w:rPr>
      <w:rFonts w:ascii="宋体" w:hAnsi="宋体" w:eastAsia="仿宋_GB2312"/>
      <w:color w:val="000000"/>
      <w:sz w:val="24"/>
      <w:szCs w:val="24"/>
    </w:rPr>
  </w:style>
  <w:style w:type="paragraph" w:customStyle="1" w:styleId="108">
    <w:name w:val="4"/>
    <w:basedOn w:val="1"/>
    <w:next w:val="16"/>
    <w:qFormat/>
    <w:uiPriority w:val="99"/>
    <w:rPr>
      <w:rFonts w:ascii="宋体" w:hAnsi="Courier New" w:cs="Courier New"/>
      <w:szCs w:val="21"/>
    </w:rPr>
  </w:style>
  <w:style w:type="paragraph" w:customStyle="1" w:styleId="109">
    <w:name w:val="CM5"/>
    <w:basedOn w:val="87"/>
    <w:next w:val="87"/>
    <w:qFormat/>
    <w:uiPriority w:val="99"/>
    <w:pPr>
      <w:spacing w:line="436" w:lineRule="atLeast"/>
    </w:pPr>
    <w:rPr>
      <w:rFonts w:ascii="仿宋_GB2312" w:hAnsi="Times New Roman" w:eastAsia="仿宋_GB2312" w:cs="Times New Roman"/>
      <w:color w:val="auto"/>
    </w:rPr>
  </w:style>
  <w:style w:type="paragraph" w:customStyle="1" w:styleId="110">
    <w:name w:val="样式 小四 行距: 1.5 倍行距 首行缩进:  2 字符"/>
    <w:basedOn w:val="1"/>
    <w:qFormat/>
    <w:uiPriority w:val="99"/>
    <w:pPr>
      <w:spacing w:line="500" w:lineRule="exact"/>
      <w:ind w:firstLine="480" w:firstLineChars="200"/>
    </w:pPr>
    <w:rPr>
      <w:rFonts w:ascii="Times New Roman" w:hAnsi="宋体"/>
      <w:sz w:val="24"/>
      <w:szCs w:val="20"/>
    </w:rPr>
  </w:style>
  <w:style w:type="paragraph" w:customStyle="1" w:styleId="111">
    <w:name w:val="报告表格"/>
    <w:basedOn w:val="1"/>
    <w:qFormat/>
    <w:uiPriority w:val="99"/>
    <w:pPr>
      <w:autoSpaceDE w:val="0"/>
      <w:autoSpaceDN w:val="0"/>
      <w:adjustRightInd w:val="0"/>
      <w:spacing w:before="40" w:after="40"/>
      <w:jc w:val="center"/>
      <w:textAlignment w:val="baseline"/>
    </w:pPr>
    <w:rPr>
      <w:rFonts w:ascii="Times New Roman" w:hAnsi="Times New Roman"/>
      <w:kern w:val="0"/>
      <w:szCs w:val="20"/>
    </w:rPr>
  </w:style>
  <w:style w:type="paragraph" w:customStyle="1" w:styleId="112">
    <w:name w:val="三级标题"/>
    <w:basedOn w:val="1"/>
    <w:qFormat/>
    <w:uiPriority w:val="99"/>
    <w:pPr>
      <w:spacing w:line="360" w:lineRule="auto"/>
    </w:pPr>
    <w:rPr>
      <w:rFonts w:ascii="宋体" w:hAnsi="宋体"/>
      <w:bCs/>
      <w:sz w:val="24"/>
      <w:szCs w:val="24"/>
    </w:rPr>
  </w:style>
  <w:style w:type="paragraph" w:customStyle="1" w:styleId="113">
    <w:name w:val="xl27"/>
    <w:basedOn w:val="1"/>
    <w:qFormat/>
    <w:uiPriority w:val="99"/>
    <w:pPr>
      <w:widowControl/>
      <w:pBdr>
        <w:bottom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114">
    <w:name w:val="默认段落字体 Para Char Char Char Char"/>
    <w:basedOn w:val="1"/>
    <w:uiPriority w:val="99"/>
    <w:rPr>
      <w:rFonts w:ascii="Times New Roman" w:hAnsi="Times New Roman"/>
      <w:szCs w:val="21"/>
    </w:rPr>
  </w:style>
  <w:style w:type="paragraph" w:customStyle="1" w:styleId="115">
    <w:name w:val="CM40"/>
    <w:basedOn w:val="87"/>
    <w:next w:val="87"/>
    <w:qFormat/>
    <w:uiPriority w:val="99"/>
    <w:rPr>
      <w:rFonts w:hAnsi="Times New Roman" w:cs="Times New Roman"/>
      <w:color w:val="auto"/>
    </w:rPr>
  </w:style>
  <w:style w:type="paragraph" w:customStyle="1" w:styleId="116">
    <w:name w:val="CM109"/>
    <w:basedOn w:val="87"/>
    <w:next w:val="87"/>
    <w:qFormat/>
    <w:uiPriority w:val="99"/>
    <w:rPr>
      <w:rFonts w:ascii="仿宋_GB2312" w:hAnsi="Times New Roman" w:eastAsia="仿宋_GB2312" w:cs="Times New Roman"/>
      <w:color w:val="auto"/>
    </w:rPr>
  </w:style>
  <w:style w:type="paragraph" w:customStyle="1" w:styleId="117">
    <w:name w:val="默认段落字体 Para Char Char Char Char Char Char Char Char Char Char Char Char1 Char Char"/>
    <w:basedOn w:val="1"/>
    <w:qFormat/>
    <w:uiPriority w:val="99"/>
    <w:pPr>
      <w:spacing w:line="360" w:lineRule="auto"/>
      <w:ind w:firstLine="200" w:firstLineChars="200"/>
    </w:pPr>
    <w:rPr>
      <w:rFonts w:ascii="Times New Roman" w:hAnsi="Times New Roman"/>
      <w:szCs w:val="24"/>
    </w:rPr>
  </w:style>
  <w:style w:type="paragraph" w:customStyle="1" w:styleId="118">
    <w:name w:val="TOC Heading1"/>
    <w:basedOn w:val="3"/>
    <w:next w:val="1"/>
    <w:qFormat/>
    <w:uiPriority w:val="99"/>
    <w:pPr>
      <w:keepNext/>
      <w:keepLines/>
      <w:widowControl/>
      <w:spacing w:before="240" w:line="259" w:lineRule="auto"/>
      <w:jc w:val="left"/>
      <w:outlineLvl w:val="9"/>
    </w:pPr>
    <w:rPr>
      <w:rFonts w:ascii="等线 Light" w:hAnsi="等线 Light" w:eastAsia="等线 Light"/>
      <w:b w:val="0"/>
      <w:color w:val="2F5496"/>
      <w:kern w:val="0"/>
      <w:sz w:val="32"/>
      <w:szCs w:val="32"/>
    </w:rPr>
  </w:style>
  <w:style w:type="paragraph" w:customStyle="1" w:styleId="119">
    <w:name w:val="List Paragraph1"/>
    <w:basedOn w:val="1"/>
    <w:qFormat/>
    <w:uiPriority w:val="99"/>
    <w:pPr>
      <w:ind w:firstLine="420" w:firstLineChars="200"/>
    </w:pPr>
    <w:rPr>
      <w:rFonts w:ascii="Calibri" w:hAnsi="Calibri"/>
    </w:rPr>
  </w:style>
  <w:style w:type="table" w:customStyle="1" w:styleId="120">
    <w:name w:val="网格型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121">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oleObject" Target="embeddings/oleObject3.bin"/><Relationship Id="rId14" Type="http://schemas.openxmlformats.org/officeDocument/2006/relationships/image" Target="media/image8.emf"/><Relationship Id="rId13" Type="http://schemas.openxmlformats.org/officeDocument/2006/relationships/oleObject" Target="embeddings/oleObject2.bin"/><Relationship Id="rId12" Type="http://schemas.openxmlformats.org/officeDocument/2006/relationships/image" Target="media/image7.emf"/><Relationship Id="rId11" Type="http://schemas.openxmlformats.org/officeDocument/2006/relationships/oleObject" Target="embeddings/oleObject1.bin"/><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186"/>
    <customShpInfo spid="_x0000_s1181" textRotate="1"/>
    <customShpInfo spid="_x0000_s1182" textRotate="1"/>
    <customShpInfo spid="_x0000_s1180" textRotate="1"/>
    <customShpInfo spid="_x0000_s1185"/>
    <customShpInfo spid="_x0000_s1184"/>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3038</Words>
  <Characters>17317</Characters>
  <Lines>144</Lines>
  <Paragraphs>40</Paragraphs>
  <ScaleCrop>false</ScaleCrop>
  <LinksUpToDate>false</LinksUpToDate>
  <CharactersWithSpaces>20315</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2018-01-12T01:34:00Z</dcterms:created>
  <dc:creator>牛旭浩</dc:creator>
  <cp:lastModifiedBy>Administrator</cp:lastModifiedBy>
  <cp:lastPrinted>2018-01-19T07:34:00Z</cp:lastPrinted>
  <dcterms:modified xsi:type="dcterms:W3CDTF">2018-03-08T07:00:34Z</dcterms:modified>
  <dc:title>***********有限公司</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