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653" w:rsidRDefault="00315653" w:rsidP="00315653">
      <w:pPr>
        <w:spacing w:line="588" w:lineRule="exact"/>
        <w:ind w:firstLineChars="1400" w:firstLine="4480"/>
        <w:rPr>
          <w:rFonts w:ascii="仿宋_GB2312" w:eastAsia="仿宋_GB2312"/>
          <w:sz w:val="32"/>
          <w:szCs w:val="32"/>
        </w:rPr>
      </w:pPr>
    </w:p>
    <w:p w:rsidR="00315653" w:rsidRPr="00066E09" w:rsidRDefault="00315653" w:rsidP="00315653">
      <w:pPr>
        <w:pStyle w:val="a8"/>
        <w:spacing w:line="432" w:lineRule="auto"/>
        <w:rPr>
          <w:rFonts w:ascii="黑体" w:eastAsia="黑体" w:hAnsi="黑体"/>
          <w:sz w:val="32"/>
          <w:szCs w:val="32"/>
        </w:rPr>
      </w:pPr>
      <w:r w:rsidRPr="00066E09">
        <w:rPr>
          <w:rFonts w:ascii="黑体" w:eastAsia="黑体" w:hAnsi="黑体" w:hint="eastAsia"/>
          <w:sz w:val="32"/>
          <w:szCs w:val="32"/>
        </w:rPr>
        <w:t>附件</w:t>
      </w:r>
    </w:p>
    <w:p w:rsidR="00315653" w:rsidRPr="00315653" w:rsidRDefault="00315653" w:rsidP="00315653">
      <w:pPr>
        <w:pStyle w:val="a8"/>
        <w:spacing w:line="680" w:lineRule="exact"/>
        <w:jc w:val="center"/>
        <w:rPr>
          <w:rStyle w:val="aa"/>
          <w:rFonts w:ascii="华文中宋" w:eastAsia="华文中宋" w:hAnsi="华文中宋" w:cs="方正小标宋简体"/>
          <w:b w:val="0"/>
          <w:sz w:val="44"/>
          <w:szCs w:val="44"/>
        </w:rPr>
      </w:pPr>
      <w:r w:rsidRPr="00315653">
        <w:rPr>
          <w:rStyle w:val="aa"/>
          <w:rFonts w:ascii="华文中宋" w:eastAsia="华文中宋" w:hAnsi="华文中宋" w:cs="方正小标宋简体" w:hint="eastAsia"/>
          <w:sz w:val="44"/>
          <w:szCs w:val="44"/>
        </w:rPr>
        <w:t>中央专项彩票公益金支持贫困革命老区</w:t>
      </w:r>
    </w:p>
    <w:p w:rsidR="00315653" w:rsidRPr="00315653" w:rsidRDefault="00315653" w:rsidP="00315653">
      <w:pPr>
        <w:pStyle w:val="a8"/>
        <w:spacing w:line="680" w:lineRule="exact"/>
        <w:jc w:val="center"/>
        <w:rPr>
          <w:rStyle w:val="aa"/>
          <w:rFonts w:ascii="华文中宋" w:eastAsia="华文中宋" w:hAnsi="华文中宋" w:cs="方正小标宋简体"/>
          <w:b w:val="0"/>
          <w:sz w:val="32"/>
          <w:szCs w:val="32"/>
        </w:rPr>
      </w:pPr>
      <w:r w:rsidRPr="00315653">
        <w:rPr>
          <w:rStyle w:val="aa"/>
          <w:rFonts w:ascii="华文中宋" w:eastAsia="华文中宋" w:hAnsi="华文中宋" w:cs="方正小标宋简体" w:hint="eastAsia"/>
          <w:sz w:val="44"/>
          <w:szCs w:val="44"/>
        </w:rPr>
        <w:t>脱贫攻坚资金管理办法</w:t>
      </w:r>
    </w:p>
    <w:p w:rsidR="00315653" w:rsidRDefault="00315653" w:rsidP="00315653">
      <w:pPr>
        <w:snapToGrid w:val="0"/>
        <w:spacing w:line="360" w:lineRule="auto"/>
        <w:ind w:firstLineChars="200" w:firstLine="643"/>
        <w:rPr>
          <w:rStyle w:val="aa"/>
          <w:rFonts w:ascii="仿宋_GB2312" w:eastAsia="仿宋_GB2312"/>
          <w:sz w:val="32"/>
          <w:szCs w:val="32"/>
        </w:rPr>
      </w:pPr>
    </w:p>
    <w:p w:rsidR="00315653" w:rsidRDefault="00315653" w:rsidP="00315653">
      <w:pPr>
        <w:snapToGrid w:val="0"/>
        <w:spacing w:line="360" w:lineRule="auto"/>
        <w:ind w:firstLineChars="200" w:firstLine="643"/>
        <w:rPr>
          <w:rFonts w:ascii="仿宋_GB2312" w:eastAsia="仿宋_GB2312"/>
          <w:sz w:val="32"/>
          <w:szCs w:val="32"/>
        </w:rPr>
      </w:pPr>
      <w:r>
        <w:rPr>
          <w:rStyle w:val="aa"/>
          <w:rFonts w:ascii="仿宋_GB2312" w:eastAsia="仿宋_GB2312" w:hint="eastAsia"/>
          <w:sz w:val="32"/>
          <w:szCs w:val="32"/>
        </w:rPr>
        <w:t>第一条</w:t>
      </w:r>
      <w:r>
        <w:rPr>
          <w:rFonts w:ascii="仿宋_GB2312" w:eastAsia="仿宋_GB2312" w:hint="eastAsia"/>
          <w:sz w:val="32"/>
          <w:szCs w:val="32"/>
        </w:rPr>
        <w:t xml:space="preserve">　为规范和加强中央专项彩票公益金支持贫困革命老区脱贫攻坚资金（以下简称“彩票公益金”）管理，提高资金使用效益，根据国家扶贫开发方针政策和彩票公益金管理的有关规定，制定本办法。</w:t>
      </w:r>
      <w:r>
        <w:rPr>
          <w:rFonts w:ascii="仿宋_GB2312" w:eastAsia="仿宋_GB2312" w:hint="eastAsia"/>
          <w:sz w:val="32"/>
          <w:szCs w:val="32"/>
        </w:rPr>
        <w:br/>
        <w:t xml:space="preserve">　　</w:t>
      </w:r>
      <w:r>
        <w:rPr>
          <w:rStyle w:val="aa"/>
          <w:rFonts w:ascii="仿宋_GB2312" w:eastAsia="仿宋_GB2312" w:hint="eastAsia"/>
          <w:sz w:val="32"/>
          <w:szCs w:val="32"/>
        </w:rPr>
        <w:t>第二条</w:t>
      </w:r>
      <w:r>
        <w:rPr>
          <w:rFonts w:ascii="仿宋_GB2312" w:eastAsia="仿宋_GB2312" w:hint="eastAsia"/>
          <w:sz w:val="32"/>
          <w:szCs w:val="32"/>
        </w:rPr>
        <w:t xml:space="preserve">　本办法所称的贫困革命老区，是指国家扶贫开发工作重点县和集中连片特殊困难地区中的革命老区县，以及山东沂蒙革命老区和广东、福建原中央苏区中的省级</w:t>
      </w:r>
      <w:r>
        <w:rPr>
          <w:rFonts w:asciiTheme="minorHAnsi" w:eastAsia="仿宋_GB2312" w:hAnsiTheme="minorHAnsi" w:hint="eastAsia"/>
          <w:sz w:val="32"/>
          <w:szCs w:val="32"/>
        </w:rPr>
        <w:t>扶贫开发工作重点</w:t>
      </w:r>
      <w:r>
        <w:rPr>
          <w:rFonts w:ascii="仿宋_GB2312" w:eastAsia="仿宋_GB2312" w:hint="eastAsia"/>
          <w:sz w:val="32"/>
          <w:szCs w:val="32"/>
        </w:rPr>
        <w:t>县。</w:t>
      </w:r>
      <w:r>
        <w:rPr>
          <w:rFonts w:ascii="仿宋_GB2312" w:eastAsia="仿宋_GB2312" w:hint="eastAsia"/>
          <w:sz w:val="32"/>
          <w:szCs w:val="32"/>
        </w:rPr>
        <w:br/>
        <w:t xml:space="preserve">　　</w:t>
      </w:r>
      <w:r>
        <w:rPr>
          <w:rStyle w:val="aa"/>
          <w:rFonts w:ascii="仿宋_GB2312" w:eastAsia="仿宋_GB2312" w:hint="eastAsia"/>
          <w:sz w:val="32"/>
          <w:szCs w:val="32"/>
        </w:rPr>
        <w:t>第三条</w:t>
      </w:r>
      <w:r>
        <w:rPr>
          <w:rFonts w:ascii="仿宋_GB2312" w:eastAsia="仿宋_GB2312" w:hint="eastAsia"/>
          <w:sz w:val="32"/>
          <w:szCs w:val="32"/>
        </w:rPr>
        <w:t xml:space="preserve">　财政部根据年度中央专项彩票公益金收入和全国脱贫攻坚任务需要，统筹确定中央专项彩票公益金支持贫困革命老区脱贫攻坚年度数额。</w:t>
      </w:r>
    </w:p>
    <w:p w:rsidR="00315653" w:rsidRDefault="00315653" w:rsidP="00315653">
      <w:pPr>
        <w:snapToGrid w:val="0"/>
        <w:spacing w:line="360" w:lineRule="auto"/>
        <w:ind w:firstLineChars="200" w:firstLine="643"/>
        <w:rPr>
          <w:rFonts w:ascii="仿宋_GB2312" w:eastAsia="仿宋_GB2312"/>
          <w:sz w:val="32"/>
          <w:szCs w:val="32"/>
        </w:rPr>
      </w:pPr>
      <w:r>
        <w:rPr>
          <w:rFonts w:ascii="仿宋_GB2312" w:eastAsia="仿宋_GB2312" w:hAnsi="仿宋_GB2312" w:cs="仿宋_GB2312" w:hint="eastAsia"/>
          <w:b/>
          <w:bCs/>
          <w:sz w:val="32"/>
          <w:szCs w:val="32"/>
        </w:rPr>
        <w:t>第四条</w:t>
      </w:r>
      <w:r>
        <w:rPr>
          <w:rFonts w:ascii="仿宋_GB2312" w:eastAsia="仿宋_GB2312" w:hint="eastAsia"/>
          <w:sz w:val="32"/>
          <w:szCs w:val="32"/>
        </w:rPr>
        <w:t xml:space="preserve">  彩票公益金用于支持贫困村村内小型生产性公益设施建设。</w:t>
      </w:r>
    </w:p>
    <w:p w:rsidR="00315653" w:rsidRDefault="00315653" w:rsidP="00315653">
      <w:pP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开展统筹整合使用财政涉农资金试点的贫困革命老区县，由县级按照贫困县开展统筹整合使用财政涉农资金试点工作有关文件要求，根据脱贫攻坚需求统筹安排彩票公益金。</w:t>
      </w:r>
      <w:r>
        <w:rPr>
          <w:rFonts w:ascii="仿宋_GB2312" w:eastAsia="仿宋_GB2312" w:hint="eastAsia"/>
          <w:sz w:val="32"/>
          <w:szCs w:val="32"/>
        </w:rPr>
        <w:lastRenderedPageBreak/>
        <w:t>纳入统筹整合使用的彩票公益金按照贫困县统筹整合使用财政涉农资金试点工作有关要求进行管理。</w:t>
      </w:r>
      <w:r w:rsidRPr="002730FF">
        <w:rPr>
          <w:rFonts w:ascii="仿宋_GB2312" w:eastAsia="仿宋_GB2312" w:hint="eastAsia"/>
          <w:sz w:val="32"/>
          <w:szCs w:val="32"/>
        </w:rPr>
        <w:t>对于不属于统筹整合试点范围的革命</w:t>
      </w:r>
      <w:r>
        <w:rPr>
          <w:rFonts w:ascii="仿宋_GB2312" w:eastAsia="仿宋_GB2312" w:hint="eastAsia"/>
          <w:sz w:val="32"/>
          <w:szCs w:val="32"/>
        </w:rPr>
        <w:t>老</w:t>
      </w:r>
      <w:r w:rsidRPr="002730FF">
        <w:rPr>
          <w:rFonts w:ascii="仿宋_GB2312" w:eastAsia="仿宋_GB2312" w:hint="eastAsia"/>
          <w:sz w:val="32"/>
          <w:szCs w:val="32"/>
        </w:rPr>
        <w:t>区县，应加大彩票公益金与一般公共预算等其他资金的统筹力度，同一项目不应重复支持</w:t>
      </w:r>
      <w:r>
        <w:rPr>
          <w:rFonts w:ascii="仿宋_GB2312" w:eastAsia="仿宋_GB2312" w:hint="eastAsia"/>
          <w:sz w:val="32"/>
          <w:szCs w:val="32"/>
        </w:rPr>
        <w:t>。</w:t>
      </w:r>
      <w:r>
        <w:rPr>
          <w:rFonts w:ascii="仿宋_GB2312" w:eastAsia="仿宋_GB2312" w:hint="eastAsia"/>
          <w:sz w:val="32"/>
          <w:szCs w:val="32"/>
        </w:rPr>
        <w:br/>
        <w:t xml:space="preserve">　　</w:t>
      </w:r>
      <w:r>
        <w:rPr>
          <w:rStyle w:val="aa"/>
          <w:rFonts w:ascii="仿宋_GB2312" w:eastAsia="仿宋_GB2312" w:hint="eastAsia"/>
          <w:sz w:val="32"/>
          <w:szCs w:val="32"/>
        </w:rPr>
        <w:t>第五条</w:t>
      </w:r>
      <w:r>
        <w:rPr>
          <w:rFonts w:ascii="仿宋_GB2312" w:eastAsia="仿宋_GB2312" w:hint="eastAsia"/>
          <w:sz w:val="32"/>
          <w:szCs w:val="32"/>
        </w:rPr>
        <w:t xml:space="preserve">　彩票公益金使用应符合本办法第四条规定，并不得用于以下开支：</w:t>
      </w:r>
      <w:r>
        <w:rPr>
          <w:rFonts w:ascii="仿宋_GB2312" w:eastAsia="仿宋_GB2312" w:hint="eastAsia"/>
          <w:sz w:val="32"/>
          <w:szCs w:val="32"/>
        </w:rPr>
        <w:br/>
        <w:t xml:space="preserve">　　（一）行政事业单位基本支出；</w:t>
      </w:r>
      <w:r>
        <w:rPr>
          <w:rFonts w:ascii="仿宋_GB2312" w:eastAsia="仿宋_GB2312" w:hint="eastAsia"/>
          <w:sz w:val="32"/>
          <w:szCs w:val="32"/>
        </w:rPr>
        <w:br/>
        <w:t xml:space="preserve">　　（二）各种奖金、津贴和社会福利、救济补助；</w:t>
      </w:r>
      <w:r>
        <w:rPr>
          <w:rFonts w:ascii="仿宋_GB2312" w:eastAsia="仿宋_GB2312" w:hint="eastAsia"/>
          <w:sz w:val="32"/>
          <w:szCs w:val="32"/>
        </w:rPr>
        <w:br/>
        <w:t xml:space="preserve">　　（三）修建楼堂馆所；</w:t>
      </w:r>
      <w:r>
        <w:rPr>
          <w:rFonts w:ascii="仿宋_GB2312" w:eastAsia="仿宋_GB2312" w:hint="eastAsia"/>
          <w:sz w:val="32"/>
          <w:szCs w:val="32"/>
        </w:rPr>
        <w:br/>
        <w:t xml:space="preserve">　　（四）交通工具及通讯设备；</w:t>
      </w:r>
      <w:r>
        <w:rPr>
          <w:rFonts w:ascii="仿宋_GB2312" w:eastAsia="仿宋_GB2312" w:hint="eastAsia"/>
          <w:sz w:val="32"/>
          <w:szCs w:val="32"/>
        </w:rPr>
        <w:br/>
        <w:t xml:space="preserve">    （五）弥补企业亏损；</w:t>
      </w:r>
      <w:r>
        <w:rPr>
          <w:rFonts w:ascii="仿宋_GB2312" w:eastAsia="仿宋_GB2312" w:hint="eastAsia"/>
          <w:sz w:val="32"/>
          <w:szCs w:val="32"/>
        </w:rPr>
        <w:br/>
        <w:t xml:space="preserve">　　（六）弥补预算支出缺口和偿还债务；</w:t>
      </w:r>
    </w:p>
    <w:p w:rsidR="00315653" w:rsidRDefault="00315653" w:rsidP="00315653">
      <w:pP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（七）大中型基本建设项目；</w:t>
      </w:r>
    </w:p>
    <w:p w:rsidR="00315653" w:rsidRDefault="00315653" w:rsidP="00315653">
      <w:pP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（八）城市基础设施建设和城市扶贫。</w:t>
      </w:r>
    </w:p>
    <w:p w:rsidR="00315653" w:rsidRDefault="00315653" w:rsidP="00315653">
      <w:pPr>
        <w:snapToGrid w:val="0"/>
        <w:spacing w:line="360" w:lineRule="auto"/>
        <w:ind w:firstLineChars="200" w:firstLine="640"/>
        <w:rPr>
          <w:rFonts w:ascii="黑体" w:eastAsia="黑体"/>
          <w:sz w:val="32"/>
          <w:szCs w:val="32"/>
        </w:rPr>
      </w:pPr>
      <w:r>
        <w:rPr>
          <w:rFonts w:ascii="仿宋_GB2312" w:eastAsia="仿宋_GB2312" w:hint="eastAsia"/>
          <w:sz w:val="32"/>
          <w:szCs w:val="32"/>
        </w:rPr>
        <w:t>（九）其他与脱贫攻坚无关的支出。</w:t>
      </w:r>
    </w:p>
    <w:p w:rsidR="00315653" w:rsidRDefault="00315653" w:rsidP="00315653">
      <w:pPr>
        <w:snapToGrid w:val="0"/>
        <w:spacing w:line="360" w:lineRule="auto"/>
        <w:ind w:firstLineChars="200" w:firstLine="643"/>
        <w:rPr>
          <w:rFonts w:ascii="仿宋_GB2312" w:eastAsia="仿宋_GB2312"/>
          <w:sz w:val="32"/>
          <w:szCs w:val="32"/>
        </w:rPr>
      </w:pPr>
      <w:r>
        <w:rPr>
          <w:rFonts w:ascii="仿宋_GB2312" w:eastAsia="仿宋_GB2312" w:hint="eastAsia"/>
          <w:b/>
          <w:sz w:val="32"/>
          <w:szCs w:val="32"/>
        </w:rPr>
        <w:t>第六条</w:t>
      </w:r>
      <w:r>
        <w:rPr>
          <w:rFonts w:ascii="仿宋_GB2312" w:eastAsia="仿宋_GB2312" w:hint="eastAsia"/>
          <w:sz w:val="32"/>
          <w:szCs w:val="32"/>
        </w:rPr>
        <w:t xml:space="preserve">  各级各有关部门根据以下职责分工履行彩票公益金使用管理职责。</w:t>
      </w:r>
    </w:p>
    <w:p w:rsidR="00315653" w:rsidRDefault="00315653" w:rsidP="00315653">
      <w:pP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（一）国务院扶贫办提出资金分配建议，函报财政部，财政部</w:t>
      </w:r>
      <w:r>
        <w:rPr>
          <w:rFonts w:asciiTheme="minorHAnsi" w:eastAsia="仿宋_GB2312" w:hAnsiTheme="minorHAnsi" w:hint="eastAsia"/>
          <w:sz w:val="32"/>
          <w:szCs w:val="32"/>
        </w:rPr>
        <w:t>综合</w:t>
      </w:r>
      <w:r>
        <w:rPr>
          <w:rFonts w:ascii="仿宋_GB2312" w:eastAsia="仿宋_GB2312" w:hint="eastAsia"/>
          <w:sz w:val="32"/>
          <w:szCs w:val="32"/>
        </w:rPr>
        <w:t>年度预算安排、国务院扶贫办分配建议和预算管理有关要求，分配下达资金。</w:t>
      </w:r>
    </w:p>
    <w:p w:rsidR="00315653" w:rsidRDefault="00315653" w:rsidP="00315653">
      <w:pP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（二）各级财政部门负责预算安排和资金下达，会同同级扶贫部门分配资金并加强监管。</w:t>
      </w:r>
    </w:p>
    <w:p w:rsidR="00315653" w:rsidRDefault="00315653" w:rsidP="00315653">
      <w:pPr>
        <w:pStyle w:val="HTML"/>
        <w:widowControl/>
        <w:shd w:val="clear" w:color="auto" w:fill="FFFFFF"/>
        <w:spacing w:line="360" w:lineRule="auto"/>
        <w:ind w:firstLineChars="200" w:firstLine="640"/>
        <w:rPr>
          <w:rFonts w:ascii="仿宋_GB2312" w:eastAsia="仿宋_GB2312" w:hAnsi="仿宋" w:hint="default"/>
          <w:sz w:val="32"/>
          <w:szCs w:val="32"/>
        </w:rPr>
      </w:pPr>
      <w:r>
        <w:rPr>
          <w:rFonts w:ascii="仿宋_GB2312" w:eastAsia="仿宋_GB2312"/>
          <w:sz w:val="32"/>
          <w:szCs w:val="32"/>
        </w:rPr>
        <w:lastRenderedPageBreak/>
        <w:t>（三）各级扶贫部门</w:t>
      </w:r>
      <w:r>
        <w:rPr>
          <w:rFonts w:ascii="仿宋_GB2312" w:eastAsia="仿宋_GB2312" w:hAnsi="仿宋"/>
          <w:sz w:val="32"/>
          <w:szCs w:val="32"/>
        </w:rPr>
        <w:t>负责资金和项目具体使用及绩效管理、监督检查等工作，确保资金安全高效使用。</w:t>
      </w:r>
    </w:p>
    <w:p w:rsidR="00315653" w:rsidRDefault="00315653" w:rsidP="00315653">
      <w:pPr>
        <w:pStyle w:val="HTML"/>
        <w:widowControl/>
        <w:shd w:val="clear" w:color="auto" w:fill="FFFFFF"/>
        <w:snapToGrid w:val="0"/>
        <w:spacing w:line="360" w:lineRule="auto"/>
        <w:ind w:firstLineChars="200" w:firstLine="640"/>
        <w:rPr>
          <w:rFonts w:hint="default"/>
        </w:rPr>
      </w:pPr>
      <w:r>
        <w:rPr>
          <w:rFonts w:ascii="仿宋_GB2312" w:eastAsia="仿宋_GB2312" w:hAnsi="仿宋"/>
          <w:sz w:val="32"/>
          <w:szCs w:val="32"/>
        </w:rPr>
        <w:t>（四）项目实施主体按照本办法第</w:t>
      </w:r>
      <w:r>
        <w:rPr>
          <w:rFonts w:asciiTheme="minorHAnsi" w:eastAsia="仿宋_GB2312" w:hAnsiTheme="minorHAnsi"/>
          <w:sz w:val="32"/>
          <w:szCs w:val="32"/>
        </w:rPr>
        <w:t>四</w:t>
      </w:r>
      <w:r>
        <w:rPr>
          <w:rFonts w:ascii="仿宋_GB2312" w:eastAsia="仿宋_GB2312" w:hAnsi="仿宋"/>
          <w:sz w:val="32"/>
          <w:szCs w:val="32"/>
        </w:rPr>
        <w:t>条、第五条的规定，</w:t>
      </w:r>
      <w:r w:rsidRPr="002730FF">
        <w:rPr>
          <w:rFonts w:ascii="仿宋_GB2312" w:eastAsia="仿宋_GB2312" w:hAnsi="仿宋"/>
          <w:sz w:val="32"/>
          <w:szCs w:val="32"/>
        </w:rPr>
        <w:t>履行主体责任，</w:t>
      </w:r>
      <w:r>
        <w:rPr>
          <w:rFonts w:ascii="仿宋_GB2312" w:eastAsia="仿宋_GB2312" w:hAnsi="仿宋"/>
          <w:sz w:val="32"/>
          <w:szCs w:val="32"/>
        </w:rPr>
        <w:t>完成项目建设任务，实现绩效目标。</w:t>
      </w:r>
      <w:r>
        <w:rPr>
          <w:rFonts w:ascii="仿宋_GB2312" w:eastAsia="仿宋_GB2312"/>
          <w:sz w:val="32"/>
          <w:szCs w:val="32"/>
        </w:rPr>
        <w:br/>
        <w:t xml:space="preserve">　　</w:t>
      </w:r>
      <w:r>
        <w:rPr>
          <w:rStyle w:val="aa"/>
          <w:rFonts w:ascii="仿宋_GB2312" w:eastAsia="仿宋_GB2312"/>
          <w:sz w:val="32"/>
          <w:szCs w:val="32"/>
        </w:rPr>
        <w:t>第七条</w:t>
      </w:r>
      <w:r>
        <w:rPr>
          <w:rFonts w:ascii="仿宋_GB2312" w:eastAsia="仿宋_GB2312"/>
          <w:sz w:val="32"/>
          <w:szCs w:val="32"/>
        </w:rPr>
        <w:t xml:space="preserve">　省级财政及扶贫部门收到下达资金后，应在30天内研究确定资金分配方案，报财政部和国务院扶贫办备案，并及时将资金分配拨付到县。</w:t>
      </w:r>
    </w:p>
    <w:p w:rsidR="00315653" w:rsidRDefault="00315653" w:rsidP="00315653">
      <w:pPr>
        <w:snapToGrid w:val="0"/>
        <w:spacing w:line="360" w:lineRule="auto"/>
        <w:ind w:firstLineChars="200" w:firstLine="640"/>
        <w:rPr>
          <w:rFonts w:ascii="仿宋_GB2312" w:eastAsia="仿宋_GB2312"/>
          <w:sz w:val="32"/>
          <w:szCs w:val="32"/>
        </w:rPr>
      </w:pPr>
      <w:r>
        <w:rPr>
          <w:rFonts w:ascii="仿宋_GB2312" w:eastAsia="仿宋_GB2312" w:hint="eastAsia"/>
          <w:color w:val="333333"/>
          <w:sz w:val="32"/>
          <w:szCs w:val="32"/>
          <w:shd w:val="clear" w:color="auto" w:fill="FFFFFF"/>
        </w:rPr>
        <w:t>各地应当加快预算执行，提高资金使用效益。结转结余的</w:t>
      </w:r>
      <w:r>
        <w:rPr>
          <w:rFonts w:ascii="仿宋_GB2312" w:eastAsia="仿宋_GB2312" w:hint="eastAsia"/>
          <w:sz w:val="32"/>
          <w:szCs w:val="32"/>
        </w:rPr>
        <w:t>彩票公益金</w:t>
      </w:r>
      <w:r>
        <w:rPr>
          <w:rFonts w:ascii="仿宋_GB2312" w:eastAsia="仿宋_GB2312" w:hint="eastAsia"/>
          <w:color w:val="333333"/>
          <w:sz w:val="32"/>
          <w:szCs w:val="32"/>
          <w:shd w:val="clear" w:color="auto" w:fill="FFFFFF"/>
        </w:rPr>
        <w:t>，按照财政部关于结转结余资金管理的相关规定管理。</w:t>
      </w:r>
    </w:p>
    <w:p w:rsidR="00315653" w:rsidRDefault="00315653" w:rsidP="00315653">
      <w:pPr>
        <w:pStyle w:val="a8"/>
        <w:spacing w:before="0" w:beforeAutospacing="0" w:after="0" w:afterAutospacing="0" w:line="360" w:lineRule="auto"/>
        <w:ind w:firstLineChars="200" w:firstLine="643"/>
        <w:jc w:val="both"/>
        <w:rPr>
          <w:rFonts w:ascii="仿宋_GB2312" w:eastAsia="仿宋_GB2312"/>
          <w:sz w:val="32"/>
          <w:szCs w:val="32"/>
        </w:rPr>
      </w:pPr>
      <w:r>
        <w:rPr>
          <w:rStyle w:val="aa"/>
          <w:rFonts w:ascii="仿宋_GB2312" w:eastAsia="仿宋_GB2312" w:hint="eastAsia"/>
          <w:sz w:val="32"/>
          <w:szCs w:val="32"/>
        </w:rPr>
        <w:t xml:space="preserve">第八条  </w:t>
      </w:r>
      <w:r>
        <w:rPr>
          <w:rFonts w:ascii="仿宋_GB2312" w:eastAsia="仿宋_GB2312" w:hint="eastAsia"/>
          <w:sz w:val="32"/>
          <w:szCs w:val="32"/>
        </w:rPr>
        <w:t>彩票公益金支付按照财政国库管理制度有关规定执行。</w:t>
      </w:r>
      <w:r>
        <w:rPr>
          <w:rFonts w:ascii="仿宋_GB2312" w:eastAsia="仿宋_GB2312" w:hint="eastAsia"/>
          <w:color w:val="333333"/>
          <w:sz w:val="32"/>
          <w:szCs w:val="32"/>
        </w:rPr>
        <w:t>使用</w:t>
      </w:r>
      <w:r>
        <w:rPr>
          <w:rFonts w:ascii="仿宋_GB2312" w:eastAsia="仿宋_GB2312" w:hint="eastAsia"/>
          <w:sz w:val="32"/>
          <w:szCs w:val="32"/>
        </w:rPr>
        <w:t>彩票公益金</w:t>
      </w:r>
      <w:r>
        <w:rPr>
          <w:rFonts w:ascii="仿宋_GB2312" w:eastAsia="仿宋_GB2312" w:hint="eastAsia"/>
          <w:color w:val="333333"/>
          <w:sz w:val="32"/>
          <w:szCs w:val="32"/>
        </w:rPr>
        <w:t>购买属于政府</w:t>
      </w:r>
      <w:r>
        <w:rPr>
          <w:rFonts w:ascii="仿宋_GB2312" w:eastAsia="仿宋_GB2312" w:hint="eastAsia"/>
          <w:sz w:val="32"/>
          <w:szCs w:val="32"/>
        </w:rPr>
        <w:t>采购</w:t>
      </w:r>
      <w:r>
        <w:rPr>
          <w:rFonts w:ascii="仿宋_GB2312" w:eastAsia="仿宋_GB2312" w:hint="eastAsia"/>
          <w:color w:val="333333"/>
          <w:sz w:val="32"/>
          <w:szCs w:val="32"/>
        </w:rPr>
        <w:t>规定范围的货物、工程和服务的，应当按照政府</w:t>
      </w:r>
      <w:r>
        <w:rPr>
          <w:rFonts w:ascii="仿宋_GB2312" w:eastAsia="仿宋_GB2312" w:hint="eastAsia"/>
          <w:sz w:val="32"/>
          <w:szCs w:val="32"/>
        </w:rPr>
        <w:t>采购</w:t>
      </w:r>
      <w:r>
        <w:rPr>
          <w:rFonts w:ascii="仿宋_GB2312" w:eastAsia="仿宋_GB2312" w:hint="eastAsia"/>
          <w:color w:val="333333"/>
          <w:sz w:val="32"/>
          <w:szCs w:val="32"/>
        </w:rPr>
        <w:t>有关规定执行。</w:t>
      </w:r>
    </w:p>
    <w:p w:rsidR="00315653" w:rsidRDefault="00315653" w:rsidP="00315653">
      <w:pPr>
        <w:pStyle w:val="a8"/>
        <w:spacing w:before="0" w:beforeAutospacing="0" w:after="0" w:afterAutospacing="0" w:line="360" w:lineRule="auto"/>
        <w:ind w:firstLineChars="196" w:firstLine="630"/>
        <w:rPr>
          <w:rFonts w:ascii="仿宋_GB2312" w:eastAsia="仿宋_GB2312"/>
          <w:sz w:val="32"/>
          <w:szCs w:val="32"/>
        </w:rPr>
      </w:pPr>
      <w:r>
        <w:rPr>
          <w:rFonts w:ascii="仿宋_GB2312" w:eastAsia="仿宋_GB2312" w:hint="eastAsia"/>
          <w:b/>
          <w:sz w:val="32"/>
          <w:szCs w:val="32"/>
        </w:rPr>
        <w:t>第九条</w:t>
      </w:r>
      <w:r>
        <w:rPr>
          <w:rFonts w:ascii="仿宋_GB2312" w:eastAsia="仿宋_GB2312" w:hint="eastAsia"/>
          <w:sz w:val="32"/>
          <w:szCs w:val="32"/>
        </w:rPr>
        <w:t xml:space="preserve">  各级扶贫、财政等部门要</w:t>
      </w:r>
      <w:r>
        <w:rPr>
          <w:rFonts w:ascii="仿宋_GB2312" w:eastAsia="仿宋_GB2312" w:hAnsi="仿宋" w:hint="eastAsia"/>
          <w:sz w:val="32"/>
          <w:szCs w:val="32"/>
        </w:rPr>
        <w:t>加强彩票公益金绩效管理。贫困革命老区县</w:t>
      </w:r>
      <w:r>
        <w:rPr>
          <w:rFonts w:ascii="仿宋_GB2312" w:eastAsia="仿宋_GB2312" w:hint="eastAsia"/>
          <w:sz w:val="32"/>
          <w:szCs w:val="32"/>
        </w:rPr>
        <w:t>应加强彩票公益金绩效目标管理、执行监控、事后评价、责任到人的全过程绩效管理。省级扶贫和财政部门要选择重点项目开展重点绩效评价，评价结果作为问责依据。</w:t>
      </w:r>
    </w:p>
    <w:p w:rsidR="00315653" w:rsidRDefault="00315653" w:rsidP="00315653">
      <w:pPr>
        <w:pStyle w:val="a8"/>
        <w:spacing w:before="0" w:beforeAutospacing="0" w:after="0" w:afterAutospacing="0" w:line="360" w:lineRule="auto"/>
        <w:ind w:firstLineChars="200" w:firstLine="643"/>
        <w:jc w:val="both"/>
        <w:rPr>
          <w:rFonts w:ascii="仿宋_GB2312" w:eastAsia="仿宋_GB2312"/>
          <w:sz w:val="32"/>
          <w:szCs w:val="32"/>
        </w:rPr>
      </w:pPr>
      <w:r>
        <w:rPr>
          <w:rStyle w:val="aa"/>
          <w:rFonts w:ascii="仿宋_GB2312" w:eastAsia="仿宋_GB2312" w:hint="eastAsia"/>
          <w:sz w:val="32"/>
          <w:szCs w:val="32"/>
        </w:rPr>
        <w:t>第十条</w:t>
      </w:r>
      <w:r>
        <w:rPr>
          <w:rFonts w:ascii="仿宋_GB2312" w:eastAsia="仿宋_GB2312" w:hint="eastAsia"/>
          <w:sz w:val="32"/>
          <w:szCs w:val="32"/>
        </w:rPr>
        <w:t xml:space="preserve">　资金的使用接受审计、纪检、监察等部门的审计、监督和检查。</w:t>
      </w:r>
    </w:p>
    <w:p w:rsidR="00315653" w:rsidRDefault="00315653" w:rsidP="00315653">
      <w:pPr>
        <w:pStyle w:val="a8"/>
        <w:spacing w:before="0" w:beforeAutospacing="0" w:after="0" w:afterAutospacing="0" w:line="360" w:lineRule="auto"/>
        <w:ind w:firstLineChars="200" w:firstLine="643"/>
        <w:jc w:val="both"/>
        <w:rPr>
          <w:rStyle w:val="aa"/>
          <w:rFonts w:ascii="仿宋_GB2312" w:eastAsia="仿宋_GB2312" w:cs="Times New Roman"/>
          <w:sz w:val="32"/>
          <w:szCs w:val="32"/>
        </w:rPr>
      </w:pPr>
      <w:r>
        <w:rPr>
          <w:rStyle w:val="aa"/>
          <w:rFonts w:ascii="仿宋_GB2312" w:eastAsia="仿宋_GB2312" w:hint="eastAsia"/>
          <w:sz w:val="32"/>
          <w:szCs w:val="32"/>
        </w:rPr>
        <w:t>第十一条</w:t>
      </w:r>
      <w:r>
        <w:rPr>
          <w:rFonts w:ascii="仿宋_GB2312" w:eastAsia="仿宋_GB2312" w:hint="eastAsia"/>
          <w:sz w:val="32"/>
          <w:szCs w:val="32"/>
        </w:rPr>
        <w:t xml:space="preserve">　项目实施期间，省级扶贫部门会同同级财政部门于每年1月15日前向国务院扶贫办报送上一年度项目</w:t>
      </w:r>
      <w:r>
        <w:rPr>
          <w:rFonts w:ascii="仿宋_GB2312" w:eastAsia="仿宋_GB2312" w:hint="eastAsia"/>
          <w:sz w:val="32"/>
          <w:szCs w:val="32"/>
        </w:rPr>
        <w:lastRenderedPageBreak/>
        <w:t>资金使用情况，国务院扶贫办汇总后</w:t>
      </w:r>
      <w:r w:rsidRPr="00C41389">
        <w:rPr>
          <w:rFonts w:ascii="仿宋_GB2312" w:eastAsia="仿宋_GB2312" w:hint="eastAsia"/>
          <w:sz w:val="32"/>
          <w:szCs w:val="32"/>
        </w:rPr>
        <w:t>于</w:t>
      </w:r>
      <w:r w:rsidRPr="00C41389">
        <w:rPr>
          <w:rFonts w:ascii="仿宋_GB2312" w:eastAsia="仿宋_GB2312"/>
          <w:sz w:val="32"/>
          <w:szCs w:val="32"/>
        </w:rPr>
        <w:t>3</w:t>
      </w:r>
      <w:r w:rsidRPr="00C41389">
        <w:rPr>
          <w:rFonts w:ascii="仿宋_GB2312" w:eastAsia="仿宋_GB2312" w:hint="eastAsia"/>
          <w:sz w:val="32"/>
          <w:szCs w:val="32"/>
        </w:rPr>
        <w:t>月31日前</w:t>
      </w:r>
      <w:r>
        <w:rPr>
          <w:rFonts w:ascii="仿宋_GB2312" w:eastAsia="仿宋_GB2312" w:hint="eastAsia"/>
          <w:sz w:val="32"/>
          <w:szCs w:val="32"/>
        </w:rPr>
        <w:t>报送财政部。省级扶贫、财政部门应于每年6月底前向社会公告上一年度彩票公益金的分配使用情况。</w:t>
      </w:r>
    </w:p>
    <w:p w:rsidR="00315653" w:rsidRDefault="00315653" w:rsidP="00315653">
      <w:pPr>
        <w:pStyle w:val="a8"/>
        <w:spacing w:before="0" w:beforeAutospacing="0" w:after="0" w:afterAutospacing="0" w:line="360" w:lineRule="auto"/>
        <w:ind w:firstLineChars="200" w:firstLine="643"/>
        <w:jc w:val="both"/>
        <w:rPr>
          <w:rFonts w:ascii="仿宋_GB2312" w:eastAsia="仿宋_GB2312"/>
          <w:sz w:val="32"/>
          <w:szCs w:val="32"/>
        </w:rPr>
      </w:pPr>
      <w:r>
        <w:rPr>
          <w:rStyle w:val="aa"/>
          <w:rFonts w:ascii="仿宋_GB2312" w:eastAsia="仿宋_GB2312" w:hint="eastAsia"/>
          <w:sz w:val="32"/>
          <w:szCs w:val="32"/>
        </w:rPr>
        <w:t>第十二条</w:t>
      </w:r>
      <w:r>
        <w:rPr>
          <w:rFonts w:ascii="仿宋_GB2312" w:eastAsia="仿宋_GB2312" w:hint="eastAsia"/>
          <w:sz w:val="32"/>
          <w:szCs w:val="32"/>
        </w:rPr>
        <w:t xml:space="preserve">　未纳入贫困县涉农资金整合年度实施方案的彩票公益金资助的基本建设设施、设备或公益活动，应当以显著方式标明“彩票公益金资助——中国福利彩票和中国体育彩票”标识。</w:t>
      </w:r>
    </w:p>
    <w:p w:rsidR="00315653" w:rsidRDefault="00315653" w:rsidP="00315653">
      <w:pPr>
        <w:pStyle w:val="a8"/>
        <w:spacing w:before="0" w:beforeAutospacing="0" w:after="0" w:afterAutospacing="0" w:line="360" w:lineRule="auto"/>
        <w:ind w:firstLineChars="200" w:firstLine="643"/>
        <w:jc w:val="both"/>
        <w:rPr>
          <w:rFonts w:ascii="仿宋_GB2312" w:eastAsia="仿宋_GB2312"/>
          <w:sz w:val="32"/>
          <w:szCs w:val="32"/>
          <w:highlight w:val="yellow"/>
        </w:rPr>
      </w:pPr>
      <w:r>
        <w:rPr>
          <w:rFonts w:ascii="仿宋_GB2312" w:eastAsia="仿宋_GB2312" w:hint="eastAsia"/>
          <w:b/>
          <w:sz w:val="32"/>
          <w:szCs w:val="32"/>
        </w:rPr>
        <w:t xml:space="preserve">第十三条  </w:t>
      </w:r>
      <w:r>
        <w:rPr>
          <w:rFonts w:ascii="仿宋_GB2312" w:eastAsia="仿宋_GB2312" w:hint="eastAsia"/>
          <w:bCs/>
          <w:sz w:val="32"/>
          <w:szCs w:val="32"/>
        </w:rPr>
        <w:t>资金使用单位和个人在彩票公益金使用过程中存在虚报、冒领等各类违法违规行为的，以及</w:t>
      </w:r>
      <w:r>
        <w:rPr>
          <w:rFonts w:ascii="仿宋_GB2312" w:eastAsia="仿宋_GB2312" w:hint="eastAsia"/>
          <w:sz w:val="32"/>
          <w:szCs w:val="32"/>
        </w:rPr>
        <w:t>各级财政、扶贫等部门及其工作人员在彩票公益金分配、使用管理等工作中，存在违反本办法规定，以及其他滥用职权、玩忽职守、徇私舞弊等违法违纪行为的，按照《中华人民共和国预算法》、《中华人民共和国公务员法》、《中华人民共和国行政监察法》、《财政违法行为处罚处分条例》等国家有关规定追究相应责任；涉嫌犯罪的，依法移送司法机关处理。</w:t>
      </w:r>
    </w:p>
    <w:p w:rsidR="00315653" w:rsidRDefault="00315653" w:rsidP="00315653">
      <w:pPr>
        <w:pStyle w:val="a8"/>
        <w:spacing w:before="0" w:beforeAutospacing="0" w:after="0" w:afterAutospacing="0" w:line="360" w:lineRule="auto"/>
        <w:ind w:firstLineChars="200" w:firstLine="643"/>
        <w:rPr>
          <w:rFonts w:ascii="仿宋_GB2312" w:eastAsia="仿宋_GB2312"/>
          <w:sz w:val="32"/>
          <w:szCs w:val="32"/>
        </w:rPr>
      </w:pPr>
      <w:r>
        <w:rPr>
          <w:rStyle w:val="aa"/>
          <w:rFonts w:ascii="仿宋_GB2312" w:eastAsia="仿宋_GB2312" w:hint="eastAsia"/>
          <w:sz w:val="32"/>
          <w:szCs w:val="32"/>
        </w:rPr>
        <w:t>第十四条</w:t>
      </w:r>
      <w:r>
        <w:rPr>
          <w:rFonts w:ascii="仿宋_GB2312" w:eastAsia="仿宋_GB2312" w:hint="eastAsia"/>
          <w:sz w:val="32"/>
          <w:szCs w:val="32"/>
        </w:rPr>
        <w:t xml:space="preserve">　本办法由财政部会同国务院扶贫办负责解释。</w:t>
      </w:r>
      <w:r>
        <w:rPr>
          <w:rFonts w:ascii="仿宋_GB2312" w:eastAsia="仿宋_GB2312" w:hint="eastAsia"/>
          <w:sz w:val="32"/>
          <w:szCs w:val="32"/>
        </w:rPr>
        <w:br/>
        <w:t xml:space="preserve">　　</w:t>
      </w:r>
      <w:r>
        <w:rPr>
          <w:rStyle w:val="aa"/>
          <w:rFonts w:ascii="仿宋_GB2312" w:eastAsia="仿宋_GB2312" w:hint="eastAsia"/>
          <w:sz w:val="32"/>
          <w:szCs w:val="32"/>
        </w:rPr>
        <w:t>第十五条</w:t>
      </w:r>
      <w:r>
        <w:rPr>
          <w:rFonts w:ascii="仿宋_GB2312" w:eastAsia="仿宋_GB2312" w:hint="eastAsia"/>
          <w:sz w:val="32"/>
          <w:szCs w:val="32"/>
        </w:rPr>
        <w:t xml:space="preserve">　本办法自印发之日起实施。2011年7月11日印发的《</w:t>
      </w:r>
      <w:r>
        <w:rPr>
          <w:rFonts w:ascii="仿宋_GB2312" w:eastAsia="仿宋_GB2312" w:hint="eastAsia"/>
          <w:bCs/>
          <w:sz w:val="32"/>
          <w:szCs w:val="32"/>
        </w:rPr>
        <w:t>中央专项彩票公益金支持贫困革命老区整村推进项目资金管理办法</w:t>
      </w:r>
      <w:r>
        <w:rPr>
          <w:rFonts w:ascii="仿宋_GB2312" w:eastAsia="仿宋_GB2312" w:hint="eastAsia"/>
          <w:sz w:val="32"/>
          <w:szCs w:val="32"/>
        </w:rPr>
        <w:t>》（财农</w:t>
      </w:r>
      <w:r>
        <w:rPr>
          <w:rFonts w:ascii="仿宋_GB2312" w:eastAsia="仿宋_GB2312" w:hAnsi="仿宋_GB2312" w:cs="仿宋_GB2312" w:hint="eastAsia"/>
          <w:sz w:val="32"/>
          <w:szCs w:val="32"/>
        </w:rPr>
        <w:t>〔</w:t>
      </w:r>
      <w:r>
        <w:rPr>
          <w:rFonts w:ascii="仿宋_GB2312" w:eastAsia="仿宋_GB2312" w:hint="eastAsia"/>
          <w:sz w:val="32"/>
          <w:szCs w:val="32"/>
        </w:rPr>
        <w:t>2011〕152号）同时废止。</w:t>
      </w:r>
    </w:p>
    <w:p w:rsidR="00315653" w:rsidRPr="00315653" w:rsidRDefault="00315653" w:rsidP="00315653">
      <w:pPr>
        <w:spacing w:line="588" w:lineRule="exact"/>
        <w:ind w:firstLineChars="1400" w:firstLine="4480"/>
        <w:rPr>
          <w:rFonts w:ascii="仿宋_GB2312" w:eastAsia="仿宋_GB2312"/>
          <w:sz w:val="32"/>
          <w:szCs w:val="32"/>
        </w:rPr>
      </w:pPr>
    </w:p>
    <w:sectPr w:rsidR="00315653" w:rsidRPr="00315653" w:rsidSect="00874BB4">
      <w:footerReference w:type="default" r:id="rId8"/>
      <w:pgSz w:w="11906" w:h="16838"/>
      <w:pgMar w:top="1247" w:right="1797" w:bottom="1247"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9B1" w:rsidRDefault="003B69B1" w:rsidP="00D22579">
      <w:pPr>
        <w:ind w:firstLine="640"/>
      </w:pPr>
      <w:r>
        <w:separator/>
      </w:r>
    </w:p>
  </w:endnote>
  <w:endnote w:type="continuationSeparator" w:id="0">
    <w:p w:rsidR="003B69B1" w:rsidRDefault="003B69B1" w:rsidP="00D22579">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altName w:val="微软雅黑"/>
    <w:charset w:val="86"/>
    <w:family w:val="script"/>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
    <w:altName w:val="Arial Unicode MS"/>
    <w:panose1 w:val="02010609060101010101"/>
    <w:charset w:val="86"/>
    <w:family w:val="auto"/>
    <w:pitch w:val="default"/>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43031"/>
      <w:docPartObj>
        <w:docPartGallery w:val="Page Numbers (Bottom of Page)"/>
        <w:docPartUnique/>
      </w:docPartObj>
    </w:sdtPr>
    <w:sdtContent>
      <w:p w:rsidR="009B1FEA" w:rsidRDefault="009B1FEA">
        <w:pPr>
          <w:pStyle w:val="a4"/>
          <w:jc w:val="center"/>
        </w:pPr>
        <w:fldSimple w:instr=" PAGE   \* MERGEFORMAT ">
          <w:r w:rsidRPr="009B1FEA">
            <w:rPr>
              <w:noProof/>
              <w:lang w:val="zh-CN"/>
            </w:rPr>
            <w:t>1</w:t>
          </w:r>
        </w:fldSimple>
      </w:p>
    </w:sdtContent>
  </w:sdt>
  <w:p w:rsidR="009B1FEA" w:rsidRDefault="009B1FE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9B1" w:rsidRDefault="003B69B1" w:rsidP="00D22579">
      <w:pPr>
        <w:ind w:firstLine="640"/>
      </w:pPr>
      <w:r>
        <w:separator/>
      </w:r>
    </w:p>
  </w:footnote>
  <w:footnote w:type="continuationSeparator" w:id="0">
    <w:p w:rsidR="003B69B1" w:rsidRDefault="003B69B1" w:rsidP="00D22579">
      <w:pPr>
        <w:ind w:firstLine="64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70EF2"/>
    <w:rsid w:val="00004E5E"/>
    <w:rsid w:val="0003482B"/>
    <w:rsid w:val="00077BAA"/>
    <w:rsid w:val="000B2BAE"/>
    <w:rsid w:val="000D5032"/>
    <w:rsid w:val="00102BEE"/>
    <w:rsid w:val="00165586"/>
    <w:rsid w:val="00184095"/>
    <w:rsid w:val="001A709B"/>
    <w:rsid w:val="001C5A08"/>
    <w:rsid w:val="002051E1"/>
    <w:rsid w:val="002214D9"/>
    <w:rsid w:val="0022283A"/>
    <w:rsid w:val="00227064"/>
    <w:rsid w:val="00250207"/>
    <w:rsid w:val="00270EF2"/>
    <w:rsid w:val="002778E0"/>
    <w:rsid w:val="00290A3A"/>
    <w:rsid w:val="002F1E50"/>
    <w:rsid w:val="00315653"/>
    <w:rsid w:val="00315E94"/>
    <w:rsid w:val="003255C6"/>
    <w:rsid w:val="0035670A"/>
    <w:rsid w:val="00367D20"/>
    <w:rsid w:val="00391A4A"/>
    <w:rsid w:val="00394B98"/>
    <w:rsid w:val="003B69B1"/>
    <w:rsid w:val="004047B7"/>
    <w:rsid w:val="00426257"/>
    <w:rsid w:val="0043635C"/>
    <w:rsid w:val="00456988"/>
    <w:rsid w:val="004966EA"/>
    <w:rsid w:val="004A16DF"/>
    <w:rsid w:val="004A4771"/>
    <w:rsid w:val="004B0063"/>
    <w:rsid w:val="004C3272"/>
    <w:rsid w:val="005074B4"/>
    <w:rsid w:val="0053220D"/>
    <w:rsid w:val="005475A5"/>
    <w:rsid w:val="00571639"/>
    <w:rsid w:val="005873AB"/>
    <w:rsid w:val="005A5848"/>
    <w:rsid w:val="005D2E5A"/>
    <w:rsid w:val="005D5667"/>
    <w:rsid w:val="005D6B18"/>
    <w:rsid w:val="00610D68"/>
    <w:rsid w:val="0061285E"/>
    <w:rsid w:val="00621DC6"/>
    <w:rsid w:val="00630061"/>
    <w:rsid w:val="00656F2B"/>
    <w:rsid w:val="00684E4D"/>
    <w:rsid w:val="006A0086"/>
    <w:rsid w:val="006E4578"/>
    <w:rsid w:val="007029BE"/>
    <w:rsid w:val="007033FF"/>
    <w:rsid w:val="00716FB2"/>
    <w:rsid w:val="00746296"/>
    <w:rsid w:val="00770457"/>
    <w:rsid w:val="007878F1"/>
    <w:rsid w:val="007958C4"/>
    <w:rsid w:val="007A73CC"/>
    <w:rsid w:val="008706F3"/>
    <w:rsid w:val="00874BB4"/>
    <w:rsid w:val="00880157"/>
    <w:rsid w:val="00885ED3"/>
    <w:rsid w:val="00893FEB"/>
    <w:rsid w:val="008B3103"/>
    <w:rsid w:val="008E1A09"/>
    <w:rsid w:val="009036EE"/>
    <w:rsid w:val="00904BCE"/>
    <w:rsid w:val="009059A8"/>
    <w:rsid w:val="009065B9"/>
    <w:rsid w:val="0091693A"/>
    <w:rsid w:val="00937D86"/>
    <w:rsid w:val="009511AB"/>
    <w:rsid w:val="00954B9B"/>
    <w:rsid w:val="0096388D"/>
    <w:rsid w:val="00981AFC"/>
    <w:rsid w:val="009A5A86"/>
    <w:rsid w:val="009B0F6D"/>
    <w:rsid w:val="009B1FEA"/>
    <w:rsid w:val="009D3ADF"/>
    <w:rsid w:val="00A45196"/>
    <w:rsid w:val="00A811BE"/>
    <w:rsid w:val="00A94936"/>
    <w:rsid w:val="00AE7A61"/>
    <w:rsid w:val="00B12DE1"/>
    <w:rsid w:val="00B64E72"/>
    <w:rsid w:val="00B740B2"/>
    <w:rsid w:val="00BA6B45"/>
    <w:rsid w:val="00BB58EC"/>
    <w:rsid w:val="00BC209E"/>
    <w:rsid w:val="00BD6D00"/>
    <w:rsid w:val="00BE18CE"/>
    <w:rsid w:val="00BF0F40"/>
    <w:rsid w:val="00C16218"/>
    <w:rsid w:val="00C22443"/>
    <w:rsid w:val="00C41A53"/>
    <w:rsid w:val="00C43D2F"/>
    <w:rsid w:val="00C4574E"/>
    <w:rsid w:val="00C73E54"/>
    <w:rsid w:val="00C949FF"/>
    <w:rsid w:val="00CA0FFA"/>
    <w:rsid w:val="00CE58CE"/>
    <w:rsid w:val="00D22579"/>
    <w:rsid w:val="00D41D11"/>
    <w:rsid w:val="00DA72FC"/>
    <w:rsid w:val="00DB1858"/>
    <w:rsid w:val="00DE517B"/>
    <w:rsid w:val="00E655E5"/>
    <w:rsid w:val="00E74031"/>
    <w:rsid w:val="00E778A3"/>
    <w:rsid w:val="00ED3BBC"/>
    <w:rsid w:val="00EE1EE9"/>
    <w:rsid w:val="00F51F60"/>
    <w:rsid w:val="00F56668"/>
    <w:rsid w:val="00F65479"/>
    <w:rsid w:val="00FB0BDD"/>
    <w:rsid w:val="00FE4186"/>
    <w:rsid w:val="00FF27AE"/>
    <w:rsid w:val="2DBD24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74BB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74BB4"/>
    <w:rPr>
      <w:sz w:val="18"/>
      <w:szCs w:val="18"/>
    </w:rPr>
  </w:style>
  <w:style w:type="paragraph" w:styleId="a4">
    <w:name w:val="footer"/>
    <w:basedOn w:val="a"/>
    <w:link w:val="Char"/>
    <w:uiPriority w:val="99"/>
    <w:rsid w:val="00874BB4"/>
    <w:pPr>
      <w:tabs>
        <w:tab w:val="center" w:pos="4153"/>
        <w:tab w:val="right" w:pos="8306"/>
      </w:tabs>
      <w:snapToGrid w:val="0"/>
      <w:jc w:val="left"/>
    </w:pPr>
    <w:rPr>
      <w:sz w:val="18"/>
      <w:szCs w:val="18"/>
    </w:rPr>
  </w:style>
  <w:style w:type="paragraph" w:styleId="a5">
    <w:name w:val="header"/>
    <w:basedOn w:val="a"/>
    <w:link w:val="Char0"/>
    <w:qFormat/>
    <w:rsid w:val="00874BB4"/>
    <w:pPr>
      <w:pBdr>
        <w:bottom w:val="single" w:sz="6" w:space="1" w:color="auto"/>
      </w:pBdr>
      <w:tabs>
        <w:tab w:val="center" w:pos="4153"/>
        <w:tab w:val="right" w:pos="8306"/>
      </w:tabs>
      <w:snapToGrid w:val="0"/>
      <w:jc w:val="center"/>
    </w:pPr>
    <w:rPr>
      <w:sz w:val="18"/>
      <w:szCs w:val="18"/>
    </w:rPr>
  </w:style>
  <w:style w:type="table" w:styleId="a6">
    <w:name w:val="Table Grid"/>
    <w:basedOn w:val="a1"/>
    <w:rsid w:val="00874BB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
    <w:basedOn w:val="a"/>
    <w:rsid w:val="00874BB4"/>
    <w:rPr>
      <w:rFonts w:ascii="Tahoma" w:hAnsi="Tahoma"/>
      <w:sz w:val="24"/>
    </w:rPr>
  </w:style>
  <w:style w:type="character" w:customStyle="1" w:styleId="Char0">
    <w:name w:val="页眉 Char"/>
    <w:basedOn w:val="a0"/>
    <w:link w:val="a5"/>
    <w:rsid w:val="00874BB4"/>
    <w:rPr>
      <w:kern w:val="2"/>
      <w:sz w:val="18"/>
      <w:szCs w:val="18"/>
    </w:rPr>
  </w:style>
  <w:style w:type="character" w:customStyle="1" w:styleId="Char">
    <w:name w:val="页脚 Char"/>
    <w:basedOn w:val="a0"/>
    <w:link w:val="a4"/>
    <w:uiPriority w:val="99"/>
    <w:rsid w:val="00874BB4"/>
    <w:rPr>
      <w:kern w:val="2"/>
      <w:sz w:val="18"/>
      <w:szCs w:val="18"/>
    </w:rPr>
  </w:style>
  <w:style w:type="paragraph" w:styleId="a7">
    <w:name w:val="Body Text"/>
    <w:basedOn w:val="a"/>
    <w:link w:val="Char2"/>
    <w:rsid w:val="00954B9B"/>
    <w:pPr>
      <w:autoSpaceDE w:val="0"/>
      <w:autoSpaceDN w:val="0"/>
      <w:adjustRightInd w:val="0"/>
      <w:snapToGrid w:val="0"/>
      <w:spacing w:line="588" w:lineRule="atLeast"/>
    </w:pPr>
    <w:rPr>
      <w:rFonts w:ascii="宋体" w:eastAsia="仿宋_GB2312" w:hAnsi="宋体"/>
      <w:spacing w:val="-2"/>
      <w:sz w:val="32"/>
    </w:rPr>
  </w:style>
  <w:style w:type="character" w:customStyle="1" w:styleId="Char2">
    <w:name w:val="正文文本 Char"/>
    <w:basedOn w:val="a0"/>
    <w:link w:val="a7"/>
    <w:rsid w:val="00954B9B"/>
    <w:rPr>
      <w:rFonts w:ascii="宋体" w:eastAsia="仿宋_GB2312" w:hAnsi="宋体"/>
      <w:spacing w:val="-2"/>
      <w:kern w:val="2"/>
      <w:sz w:val="32"/>
      <w:szCs w:val="24"/>
    </w:rPr>
  </w:style>
  <w:style w:type="paragraph" w:styleId="a8">
    <w:name w:val="Normal (Web)"/>
    <w:basedOn w:val="a"/>
    <w:qFormat/>
    <w:rsid w:val="00656F2B"/>
    <w:pPr>
      <w:widowControl/>
      <w:spacing w:before="100" w:beforeAutospacing="1" w:after="100" w:afterAutospacing="1"/>
      <w:jc w:val="left"/>
    </w:pPr>
    <w:rPr>
      <w:rFonts w:ascii="宋体" w:hAnsi="宋体" w:cs="宋体"/>
      <w:kern w:val="0"/>
      <w:sz w:val="24"/>
    </w:rPr>
  </w:style>
  <w:style w:type="paragraph" w:styleId="a9">
    <w:name w:val="Date"/>
    <w:basedOn w:val="a"/>
    <w:next w:val="a"/>
    <w:link w:val="Char3"/>
    <w:rsid w:val="00315653"/>
    <w:pPr>
      <w:ind w:leftChars="2500" w:left="100"/>
    </w:pPr>
  </w:style>
  <w:style w:type="character" w:customStyle="1" w:styleId="Char3">
    <w:name w:val="日期 Char"/>
    <w:basedOn w:val="a0"/>
    <w:link w:val="a9"/>
    <w:rsid w:val="00315653"/>
    <w:rPr>
      <w:kern w:val="2"/>
      <w:sz w:val="21"/>
      <w:szCs w:val="24"/>
    </w:rPr>
  </w:style>
  <w:style w:type="paragraph" w:styleId="HTML">
    <w:name w:val="HTML Preformatted"/>
    <w:basedOn w:val="a"/>
    <w:link w:val="HTMLChar"/>
    <w:rsid w:val="003156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315653"/>
    <w:rPr>
      <w:rFonts w:ascii="宋体" w:hAnsi="宋体"/>
      <w:sz w:val="24"/>
      <w:szCs w:val="24"/>
    </w:rPr>
  </w:style>
  <w:style w:type="character" w:styleId="aa">
    <w:name w:val="Strong"/>
    <w:qFormat/>
    <w:rsid w:val="00315653"/>
    <w:rPr>
      <w:b/>
      <w:bCs/>
    </w:rPr>
  </w:style>
</w:styles>
</file>

<file path=word/webSettings.xml><?xml version="1.0" encoding="utf-8"?>
<w:webSettings xmlns:r="http://schemas.openxmlformats.org/officeDocument/2006/relationships" xmlns:w="http://schemas.openxmlformats.org/wordprocessingml/2006/main">
  <w:divs>
    <w:div w:id="96029547">
      <w:bodyDiv w:val="1"/>
      <w:marLeft w:val="0"/>
      <w:marRight w:val="0"/>
      <w:marTop w:val="0"/>
      <w:marBottom w:val="0"/>
      <w:divBdr>
        <w:top w:val="none" w:sz="0" w:space="0" w:color="auto"/>
        <w:left w:val="none" w:sz="0" w:space="0" w:color="auto"/>
        <w:bottom w:val="none" w:sz="0" w:space="0" w:color="auto"/>
        <w:right w:val="none" w:sz="0" w:space="0" w:color="auto"/>
      </w:divBdr>
    </w:div>
    <w:div w:id="164519987">
      <w:bodyDiv w:val="1"/>
      <w:marLeft w:val="0"/>
      <w:marRight w:val="0"/>
      <w:marTop w:val="0"/>
      <w:marBottom w:val="0"/>
      <w:divBdr>
        <w:top w:val="none" w:sz="0" w:space="0" w:color="auto"/>
        <w:left w:val="none" w:sz="0" w:space="0" w:color="auto"/>
        <w:bottom w:val="none" w:sz="0" w:space="0" w:color="auto"/>
        <w:right w:val="none" w:sz="0" w:space="0" w:color="auto"/>
      </w:divBdr>
    </w:div>
    <w:div w:id="269048082">
      <w:bodyDiv w:val="1"/>
      <w:marLeft w:val="0"/>
      <w:marRight w:val="0"/>
      <w:marTop w:val="0"/>
      <w:marBottom w:val="0"/>
      <w:divBdr>
        <w:top w:val="none" w:sz="0" w:space="0" w:color="auto"/>
        <w:left w:val="none" w:sz="0" w:space="0" w:color="auto"/>
        <w:bottom w:val="none" w:sz="0" w:space="0" w:color="auto"/>
        <w:right w:val="none" w:sz="0" w:space="0" w:color="auto"/>
      </w:divBdr>
    </w:div>
    <w:div w:id="715589432">
      <w:bodyDiv w:val="1"/>
      <w:marLeft w:val="0"/>
      <w:marRight w:val="0"/>
      <w:marTop w:val="0"/>
      <w:marBottom w:val="0"/>
      <w:divBdr>
        <w:top w:val="none" w:sz="0" w:space="0" w:color="auto"/>
        <w:left w:val="none" w:sz="0" w:space="0" w:color="auto"/>
        <w:bottom w:val="none" w:sz="0" w:space="0" w:color="auto"/>
        <w:right w:val="none" w:sz="0" w:space="0" w:color="auto"/>
      </w:divBdr>
    </w:div>
    <w:div w:id="726421053">
      <w:bodyDiv w:val="1"/>
      <w:marLeft w:val="0"/>
      <w:marRight w:val="0"/>
      <w:marTop w:val="0"/>
      <w:marBottom w:val="0"/>
      <w:divBdr>
        <w:top w:val="none" w:sz="0" w:space="0" w:color="auto"/>
        <w:left w:val="none" w:sz="0" w:space="0" w:color="auto"/>
        <w:bottom w:val="none" w:sz="0" w:space="0" w:color="auto"/>
        <w:right w:val="none" w:sz="0" w:space="0" w:color="auto"/>
      </w:divBdr>
    </w:div>
    <w:div w:id="1090657868">
      <w:bodyDiv w:val="1"/>
      <w:marLeft w:val="0"/>
      <w:marRight w:val="0"/>
      <w:marTop w:val="0"/>
      <w:marBottom w:val="0"/>
      <w:divBdr>
        <w:top w:val="none" w:sz="0" w:space="0" w:color="auto"/>
        <w:left w:val="none" w:sz="0" w:space="0" w:color="auto"/>
        <w:bottom w:val="none" w:sz="0" w:space="0" w:color="auto"/>
        <w:right w:val="none" w:sz="0" w:space="0" w:color="auto"/>
      </w:divBdr>
    </w:div>
    <w:div w:id="1659380414">
      <w:bodyDiv w:val="1"/>
      <w:marLeft w:val="0"/>
      <w:marRight w:val="0"/>
      <w:marTop w:val="0"/>
      <w:marBottom w:val="0"/>
      <w:divBdr>
        <w:top w:val="none" w:sz="0" w:space="0" w:color="auto"/>
        <w:left w:val="none" w:sz="0" w:space="0" w:color="auto"/>
        <w:bottom w:val="none" w:sz="0" w:space="0" w:color="auto"/>
        <w:right w:val="none" w:sz="0" w:space="0" w:color="auto"/>
      </w:divBdr>
    </w:div>
    <w:div w:id="17922836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785C8E-4CF9-4F65-B6E6-AFEA9B1C4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4</Pages>
  <Words>264</Words>
  <Characters>1510</Characters>
  <Application>Microsoft Office Word</Application>
  <DocSecurity>0</DocSecurity>
  <Lines>12</Lines>
  <Paragraphs>3</Paragraphs>
  <ScaleCrop>false</ScaleCrop>
  <Company>HX</Company>
  <LinksUpToDate>false</LinksUpToDate>
  <CharactersWithSpaces>1771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农业司网站信息发布审批单</dc:title>
  <dc:creator>HX</dc:creator>
  <cp:lastModifiedBy>yhl</cp:lastModifiedBy>
  <cp:revision>30</cp:revision>
  <cp:lastPrinted>2018-04-08T06:05:00Z</cp:lastPrinted>
  <dcterms:created xsi:type="dcterms:W3CDTF">2016-06-06T09:13:00Z</dcterms:created>
  <dcterms:modified xsi:type="dcterms:W3CDTF">2018-05-17T08:29:00Z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