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78" w:rsidRDefault="00801F78" w:rsidP="00801F78">
      <w:pPr>
        <w:adjustRightInd w:val="0"/>
        <w:snapToGrid w:val="0"/>
        <w:spacing w:line="360" w:lineRule="auto"/>
        <w:jc w:val="center"/>
        <w:rPr>
          <w:rFonts w:eastAsia="仿宋_GB2312"/>
          <w:color w:val="000000"/>
          <w:kern w:val="0"/>
          <w:sz w:val="30"/>
          <w:szCs w:val="30"/>
        </w:rPr>
      </w:pPr>
    </w:p>
    <w:p w:rsidR="00801F78" w:rsidRDefault="00801F78" w:rsidP="00801F78">
      <w:pPr>
        <w:adjustRightInd w:val="0"/>
        <w:snapToGrid w:val="0"/>
        <w:spacing w:line="360" w:lineRule="auto"/>
        <w:jc w:val="center"/>
        <w:rPr>
          <w:rFonts w:eastAsia="仿宋_GB2312"/>
          <w:color w:val="000000"/>
          <w:kern w:val="0"/>
          <w:sz w:val="30"/>
          <w:szCs w:val="30"/>
        </w:rPr>
      </w:pPr>
    </w:p>
    <w:p w:rsidR="00C22324" w:rsidRDefault="00C22324" w:rsidP="00801F78">
      <w:pPr>
        <w:adjustRightInd w:val="0"/>
        <w:snapToGrid w:val="0"/>
        <w:spacing w:line="360" w:lineRule="auto"/>
        <w:jc w:val="center"/>
        <w:rPr>
          <w:rFonts w:eastAsia="仿宋_GB2312"/>
          <w:color w:val="000000"/>
          <w:kern w:val="0"/>
          <w:sz w:val="32"/>
          <w:szCs w:val="32"/>
        </w:rPr>
      </w:pPr>
    </w:p>
    <w:p w:rsidR="00801F78" w:rsidRPr="00C22324" w:rsidRDefault="00801F78" w:rsidP="00801F78">
      <w:pPr>
        <w:adjustRightInd w:val="0"/>
        <w:snapToGrid w:val="0"/>
        <w:spacing w:line="360" w:lineRule="auto"/>
        <w:jc w:val="center"/>
        <w:rPr>
          <w:rFonts w:eastAsia="仿宋_GB2312"/>
          <w:color w:val="000000"/>
          <w:kern w:val="0"/>
          <w:sz w:val="32"/>
          <w:szCs w:val="32"/>
        </w:rPr>
      </w:pPr>
      <w:r w:rsidRPr="00C22324">
        <w:rPr>
          <w:rFonts w:eastAsia="仿宋_GB2312"/>
          <w:color w:val="000000"/>
          <w:kern w:val="0"/>
          <w:sz w:val="32"/>
          <w:szCs w:val="32"/>
        </w:rPr>
        <w:t>中国</w:t>
      </w:r>
      <w:r w:rsidRPr="00C22324">
        <w:rPr>
          <w:rFonts w:eastAsia="仿宋_GB2312" w:hint="eastAsia"/>
          <w:color w:val="000000"/>
          <w:kern w:val="0"/>
          <w:sz w:val="32"/>
          <w:szCs w:val="32"/>
        </w:rPr>
        <w:t>石化销售</w:t>
      </w:r>
      <w:r w:rsidRPr="00C22324">
        <w:rPr>
          <w:rFonts w:eastAsia="仿宋_GB2312"/>
          <w:color w:val="000000"/>
          <w:kern w:val="0"/>
          <w:sz w:val="32"/>
          <w:szCs w:val="32"/>
        </w:rPr>
        <w:t>有限公司江苏盐城</w:t>
      </w:r>
      <w:r w:rsidRPr="00C22324">
        <w:rPr>
          <w:rFonts w:eastAsia="仿宋_GB2312" w:hint="eastAsia"/>
          <w:color w:val="000000"/>
          <w:kern w:val="0"/>
          <w:sz w:val="32"/>
          <w:szCs w:val="32"/>
        </w:rPr>
        <w:t>石油</w:t>
      </w:r>
      <w:r w:rsidRPr="00C22324">
        <w:rPr>
          <w:rFonts w:eastAsia="仿宋_GB2312"/>
          <w:color w:val="000000"/>
          <w:kern w:val="0"/>
          <w:sz w:val="32"/>
          <w:szCs w:val="32"/>
        </w:rPr>
        <w:t>分公司</w:t>
      </w:r>
    </w:p>
    <w:p w:rsidR="00801F78" w:rsidRPr="00C22324" w:rsidRDefault="00801F78" w:rsidP="00801F78">
      <w:pPr>
        <w:adjustRightInd w:val="0"/>
        <w:snapToGrid w:val="0"/>
        <w:spacing w:line="360" w:lineRule="auto"/>
        <w:jc w:val="center"/>
        <w:rPr>
          <w:rFonts w:eastAsia="仿宋_GB2312"/>
          <w:color w:val="000000"/>
          <w:kern w:val="0"/>
          <w:sz w:val="32"/>
          <w:szCs w:val="32"/>
        </w:rPr>
      </w:pPr>
      <w:r w:rsidRPr="00C22324">
        <w:rPr>
          <w:rFonts w:eastAsia="仿宋_GB2312"/>
          <w:color w:val="000000"/>
          <w:kern w:val="0"/>
          <w:sz w:val="32"/>
          <w:szCs w:val="32"/>
        </w:rPr>
        <w:t>阜宁金沙湖加油站</w:t>
      </w:r>
      <w:r w:rsidRPr="00C22324">
        <w:rPr>
          <w:rFonts w:eastAsia="仿宋_GB2312" w:hint="eastAsia"/>
          <w:color w:val="000000"/>
          <w:kern w:val="0"/>
          <w:sz w:val="32"/>
          <w:szCs w:val="32"/>
        </w:rPr>
        <w:t>建设</w:t>
      </w:r>
      <w:r w:rsidRPr="00C22324">
        <w:rPr>
          <w:rFonts w:eastAsia="仿宋_GB2312"/>
          <w:color w:val="000000"/>
          <w:kern w:val="0"/>
          <w:sz w:val="32"/>
          <w:szCs w:val="32"/>
        </w:rPr>
        <w:t>项目</w:t>
      </w:r>
    </w:p>
    <w:p w:rsidR="00C22324" w:rsidRPr="00C22324" w:rsidRDefault="00801F78" w:rsidP="00801F78">
      <w:pPr>
        <w:adjustRightInd w:val="0"/>
        <w:snapToGrid w:val="0"/>
        <w:spacing w:line="360" w:lineRule="auto"/>
        <w:jc w:val="center"/>
        <w:rPr>
          <w:rFonts w:ascii="宋体" w:hAnsi="宋体"/>
          <w:b/>
          <w:sz w:val="36"/>
          <w:szCs w:val="36"/>
        </w:rPr>
      </w:pPr>
      <w:r w:rsidRPr="00C22324">
        <w:rPr>
          <w:rFonts w:ascii="宋体" w:hAnsi="宋体" w:hint="eastAsia"/>
          <w:b/>
          <w:sz w:val="36"/>
          <w:szCs w:val="36"/>
        </w:rPr>
        <w:t>噪声、固件废物污染防治设施环保“三同时”</w:t>
      </w:r>
    </w:p>
    <w:p w:rsidR="00801F78" w:rsidRPr="00C22324" w:rsidRDefault="00801F78" w:rsidP="00801F78">
      <w:pPr>
        <w:adjustRightInd w:val="0"/>
        <w:snapToGrid w:val="0"/>
        <w:spacing w:line="360" w:lineRule="auto"/>
        <w:jc w:val="center"/>
        <w:rPr>
          <w:rFonts w:ascii="宋体"/>
          <w:b/>
          <w:sz w:val="36"/>
          <w:szCs w:val="36"/>
        </w:rPr>
      </w:pPr>
      <w:r w:rsidRPr="00C22324">
        <w:rPr>
          <w:rFonts w:ascii="宋体" w:hAnsi="宋体" w:hint="eastAsia"/>
          <w:b/>
          <w:sz w:val="36"/>
          <w:szCs w:val="36"/>
        </w:rPr>
        <w:t>执行情况报告</w:t>
      </w:r>
    </w:p>
    <w:p w:rsidR="00801F78" w:rsidRPr="00C22324" w:rsidRDefault="00801F78" w:rsidP="00C22324">
      <w:pPr>
        <w:adjustRightInd w:val="0"/>
        <w:snapToGrid w:val="0"/>
        <w:spacing w:line="360" w:lineRule="auto"/>
        <w:ind w:firstLineChars="200" w:firstLine="640"/>
        <w:rPr>
          <w:rFonts w:ascii="宋体" w:hAnsi="宋体"/>
          <w:sz w:val="32"/>
          <w:szCs w:val="32"/>
        </w:rPr>
      </w:pPr>
    </w:p>
    <w:p w:rsidR="00801F78" w:rsidRPr="00C22324" w:rsidRDefault="00801F78" w:rsidP="00C22324">
      <w:pPr>
        <w:adjustRightInd w:val="0"/>
        <w:snapToGrid w:val="0"/>
        <w:spacing w:line="360" w:lineRule="auto"/>
        <w:ind w:firstLineChars="200" w:firstLine="643"/>
        <w:rPr>
          <w:rFonts w:ascii="宋体"/>
          <w:b/>
          <w:sz w:val="32"/>
          <w:szCs w:val="32"/>
        </w:rPr>
      </w:pPr>
      <w:r w:rsidRPr="00C22324">
        <w:rPr>
          <w:rFonts w:ascii="宋体" w:hAnsi="宋体" w:hint="eastAsia"/>
          <w:b/>
          <w:sz w:val="32"/>
          <w:szCs w:val="32"/>
        </w:rPr>
        <w:t>一、建设项目概况</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项目名称：中国石化销售有限公司江苏盐城阜宁金沙湖加油站。</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行业类别：机动车燃料零售</w:t>
      </w:r>
      <w:r w:rsidRPr="00C22324">
        <w:rPr>
          <w:spacing w:val="-2"/>
          <w:sz w:val="32"/>
          <w:szCs w:val="32"/>
        </w:rPr>
        <w:t>H6564</w:t>
      </w:r>
      <w:r w:rsidRPr="00C22324">
        <w:rPr>
          <w:rFonts w:hint="eastAsia"/>
          <w:spacing w:val="-2"/>
          <w:sz w:val="32"/>
          <w:szCs w:val="32"/>
        </w:rPr>
        <w:t>。</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生产规模：建设</w:t>
      </w:r>
      <w:r w:rsidRPr="00C22324">
        <w:rPr>
          <w:rFonts w:hint="eastAsia"/>
          <w:spacing w:val="-2"/>
          <w:sz w:val="32"/>
          <w:szCs w:val="32"/>
        </w:rPr>
        <w:t>3</w:t>
      </w:r>
      <w:r w:rsidRPr="00C22324">
        <w:rPr>
          <w:rFonts w:hint="eastAsia"/>
          <w:spacing w:val="-2"/>
          <w:sz w:val="32"/>
          <w:szCs w:val="32"/>
        </w:rPr>
        <w:t>个</w:t>
      </w:r>
      <w:r w:rsidRPr="00C22324">
        <w:rPr>
          <w:rFonts w:hint="eastAsia"/>
          <w:spacing w:val="-2"/>
          <w:sz w:val="32"/>
          <w:szCs w:val="32"/>
        </w:rPr>
        <w:t xml:space="preserve">30 </w:t>
      </w:r>
      <w:r w:rsidRPr="00C22324">
        <w:rPr>
          <w:rFonts w:hint="eastAsia"/>
          <w:spacing w:val="-2"/>
          <w:sz w:val="32"/>
          <w:szCs w:val="32"/>
        </w:rPr>
        <w:t>立方米地下卧式汽油储罐，</w:t>
      </w:r>
      <w:r w:rsidRPr="00C22324">
        <w:rPr>
          <w:rFonts w:hint="eastAsia"/>
          <w:spacing w:val="-2"/>
          <w:sz w:val="32"/>
          <w:szCs w:val="32"/>
        </w:rPr>
        <w:t>2</w:t>
      </w:r>
      <w:r w:rsidRPr="00C22324">
        <w:rPr>
          <w:rFonts w:hint="eastAsia"/>
          <w:spacing w:val="-2"/>
          <w:sz w:val="32"/>
          <w:szCs w:val="32"/>
        </w:rPr>
        <w:t>个</w:t>
      </w:r>
      <w:r w:rsidRPr="00C22324">
        <w:rPr>
          <w:rFonts w:hint="eastAsia"/>
          <w:spacing w:val="-2"/>
          <w:sz w:val="32"/>
          <w:szCs w:val="32"/>
        </w:rPr>
        <w:t xml:space="preserve">30 </w:t>
      </w:r>
      <w:r w:rsidRPr="00C22324">
        <w:rPr>
          <w:rFonts w:hint="eastAsia"/>
          <w:spacing w:val="-2"/>
          <w:sz w:val="32"/>
          <w:szCs w:val="32"/>
        </w:rPr>
        <w:t>立方米地下卧式柴油储罐，总装容量</w:t>
      </w:r>
      <w:r w:rsidRPr="00C22324">
        <w:rPr>
          <w:rFonts w:hint="eastAsia"/>
          <w:spacing w:val="-2"/>
          <w:sz w:val="32"/>
          <w:szCs w:val="32"/>
        </w:rPr>
        <w:t xml:space="preserve">150 </w:t>
      </w:r>
      <w:r w:rsidRPr="00C22324">
        <w:rPr>
          <w:rFonts w:hint="eastAsia"/>
          <w:spacing w:val="-2"/>
          <w:sz w:val="32"/>
          <w:szCs w:val="32"/>
        </w:rPr>
        <w:t>立方米。年销售汽油</w:t>
      </w:r>
      <w:r w:rsidRPr="00C22324">
        <w:rPr>
          <w:rFonts w:hint="eastAsia"/>
          <w:spacing w:val="-2"/>
          <w:sz w:val="32"/>
          <w:szCs w:val="32"/>
        </w:rPr>
        <w:t>7000</w:t>
      </w:r>
      <w:r w:rsidRPr="00C22324">
        <w:rPr>
          <w:rFonts w:hint="eastAsia"/>
          <w:spacing w:val="-2"/>
          <w:sz w:val="32"/>
          <w:szCs w:val="32"/>
        </w:rPr>
        <w:t>吨，柴油</w:t>
      </w:r>
      <w:r w:rsidRPr="00C22324">
        <w:rPr>
          <w:rFonts w:hint="eastAsia"/>
          <w:spacing w:val="-2"/>
          <w:sz w:val="32"/>
          <w:szCs w:val="32"/>
        </w:rPr>
        <w:t>500</w:t>
      </w:r>
      <w:r w:rsidRPr="00C22324">
        <w:rPr>
          <w:rFonts w:hint="eastAsia"/>
          <w:spacing w:val="-2"/>
          <w:sz w:val="32"/>
          <w:szCs w:val="32"/>
        </w:rPr>
        <w:t>吨。</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建设地址：</w:t>
      </w:r>
      <w:r w:rsidRPr="00C22324">
        <w:rPr>
          <w:rFonts w:ascii="宋体" w:hAnsi="宋体" w:hint="eastAsia"/>
          <w:color w:val="000000"/>
          <w:kern w:val="0"/>
          <w:sz w:val="32"/>
          <w:szCs w:val="32"/>
        </w:rPr>
        <w:t>阜宁县</w:t>
      </w:r>
      <w:r w:rsidR="0053693C">
        <w:rPr>
          <w:rFonts w:ascii="宋体" w:hAnsi="宋体" w:hint="eastAsia"/>
          <w:color w:val="000000"/>
          <w:kern w:val="0"/>
          <w:sz w:val="32"/>
          <w:szCs w:val="32"/>
        </w:rPr>
        <w:t>金沙湖街道</w:t>
      </w:r>
      <w:r w:rsidRPr="00C22324">
        <w:rPr>
          <w:rFonts w:ascii="宋体" w:hAnsi="宋体" w:hint="eastAsia"/>
          <w:color w:val="000000"/>
          <w:kern w:val="0"/>
          <w:sz w:val="32"/>
          <w:szCs w:val="32"/>
        </w:rPr>
        <w:t>营港居委会（S329北侧）</w:t>
      </w:r>
      <w:r w:rsidRPr="00C22324">
        <w:rPr>
          <w:rFonts w:hint="eastAsia"/>
          <w:spacing w:val="-2"/>
          <w:sz w:val="32"/>
          <w:szCs w:val="32"/>
        </w:rPr>
        <w:t>。</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投资总额：</w:t>
      </w:r>
      <w:r w:rsidRPr="00C22324">
        <w:rPr>
          <w:rFonts w:hint="eastAsia"/>
          <w:spacing w:val="-2"/>
          <w:sz w:val="32"/>
          <w:szCs w:val="32"/>
        </w:rPr>
        <w:t>1800</w:t>
      </w:r>
      <w:r w:rsidRPr="00C22324">
        <w:rPr>
          <w:rFonts w:hint="eastAsia"/>
          <w:spacing w:val="-2"/>
          <w:sz w:val="32"/>
          <w:szCs w:val="32"/>
        </w:rPr>
        <w:t>万元。</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环保投资：</w:t>
      </w:r>
      <w:r w:rsidRPr="00C22324">
        <w:rPr>
          <w:rFonts w:hint="eastAsia"/>
          <w:spacing w:val="-2"/>
          <w:sz w:val="32"/>
          <w:szCs w:val="32"/>
        </w:rPr>
        <w:t>36</w:t>
      </w:r>
      <w:r w:rsidRPr="00C22324">
        <w:rPr>
          <w:rFonts w:hint="eastAsia"/>
          <w:spacing w:val="-2"/>
          <w:sz w:val="32"/>
          <w:szCs w:val="32"/>
        </w:rPr>
        <w:t>万元。</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开工日期：</w:t>
      </w:r>
      <w:r w:rsidRPr="00C22324">
        <w:rPr>
          <w:rFonts w:hint="eastAsia"/>
          <w:spacing w:val="-2"/>
          <w:sz w:val="32"/>
          <w:szCs w:val="32"/>
        </w:rPr>
        <w:t>2017</w:t>
      </w:r>
      <w:r w:rsidRPr="00C22324">
        <w:rPr>
          <w:rFonts w:hint="eastAsia"/>
          <w:spacing w:val="-2"/>
          <w:sz w:val="32"/>
          <w:szCs w:val="32"/>
        </w:rPr>
        <w:t>年</w:t>
      </w:r>
      <w:r w:rsidRPr="00C22324">
        <w:rPr>
          <w:rFonts w:hint="eastAsia"/>
          <w:spacing w:val="-2"/>
          <w:sz w:val="32"/>
          <w:szCs w:val="32"/>
        </w:rPr>
        <w:t>9</w:t>
      </w:r>
      <w:r w:rsidRPr="00C22324">
        <w:rPr>
          <w:rFonts w:hint="eastAsia"/>
          <w:spacing w:val="-2"/>
          <w:sz w:val="32"/>
          <w:szCs w:val="32"/>
        </w:rPr>
        <w:t>月</w:t>
      </w:r>
      <w:r w:rsidRPr="00C22324">
        <w:rPr>
          <w:rFonts w:hint="eastAsia"/>
          <w:spacing w:val="-2"/>
          <w:sz w:val="32"/>
          <w:szCs w:val="32"/>
        </w:rPr>
        <w:t>22</w:t>
      </w:r>
      <w:r w:rsidRPr="00C22324">
        <w:rPr>
          <w:rFonts w:hint="eastAsia"/>
          <w:spacing w:val="-2"/>
          <w:sz w:val="32"/>
          <w:szCs w:val="32"/>
        </w:rPr>
        <w:t>日</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建成日期：</w:t>
      </w:r>
      <w:r w:rsidRPr="00C22324">
        <w:rPr>
          <w:rFonts w:hint="eastAsia"/>
          <w:spacing w:val="-2"/>
          <w:sz w:val="32"/>
          <w:szCs w:val="32"/>
        </w:rPr>
        <w:t>2018</w:t>
      </w:r>
      <w:r w:rsidRPr="00C22324">
        <w:rPr>
          <w:rFonts w:hint="eastAsia"/>
          <w:spacing w:val="-2"/>
          <w:sz w:val="32"/>
          <w:szCs w:val="32"/>
        </w:rPr>
        <w:t>年</w:t>
      </w:r>
      <w:r w:rsidRPr="00C22324">
        <w:rPr>
          <w:rFonts w:hint="eastAsia"/>
          <w:spacing w:val="-2"/>
          <w:sz w:val="32"/>
          <w:szCs w:val="32"/>
        </w:rPr>
        <w:t>5</w:t>
      </w:r>
      <w:r w:rsidRPr="00C22324">
        <w:rPr>
          <w:rFonts w:hint="eastAsia"/>
          <w:spacing w:val="-2"/>
          <w:sz w:val="32"/>
          <w:szCs w:val="32"/>
        </w:rPr>
        <w:t>月</w:t>
      </w:r>
      <w:r w:rsidRPr="00C22324">
        <w:rPr>
          <w:rFonts w:hint="eastAsia"/>
          <w:spacing w:val="-2"/>
          <w:sz w:val="32"/>
          <w:szCs w:val="32"/>
        </w:rPr>
        <w:t>14</w:t>
      </w:r>
      <w:r w:rsidRPr="00C22324">
        <w:rPr>
          <w:rFonts w:hint="eastAsia"/>
          <w:spacing w:val="-2"/>
          <w:sz w:val="32"/>
          <w:szCs w:val="32"/>
        </w:rPr>
        <w:t>日</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占地面积：占地</w:t>
      </w:r>
      <w:r w:rsidRPr="00C22324">
        <w:rPr>
          <w:rFonts w:hint="eastAsia"/>
          <w:spacing w:val="-2"/>
          <w:sz w:val="32"/>
          <w:szCs w:val="32"/>
        </w:rPr>
        <w:t xml:space="preserve">5534.52 </w:t>
      </w:r>
      <w:r w:rsidRPr="00C22324">
        <w:rPr>
          <w:rFonts w:hint="eastAsia"/>
          <w:spacing w:val="-2"/>
          <w:sz w:val="32"/>
          <w:szCs w:val="32"/>
        </w:rPr>
        <w:t>平方米</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t>职工人数：</w:t>
      </w:r>
      <w:r w:rsidRPr="00C22324">
        <w:rPr>
          <w:rFonts w:hint="eastAsia"/>
          <w:spacing w:val="-2"/>
          <w:sz w:val="32"/>
          <w:szCs w:val="32"/>
        </w:rPr>
        <w:t>9</w:t>
      </w:r>
      <w:r w:rsidRPr="00C22324">
        <w:rPr>
          <w:rFonts w:hint="eastAsia"/>
          <w:spacing w:val="-2"/>
          <w:sz w:val="32"/>
          <w:szCs w:val="32"/>
        </w:rPr>
        <w:t>人</w:t>
      </w:r>
    </w:p>
    <w:p w:rsidR="00801F78" w:rsidRPr="00C22324" w:rsidRDefault="00801F78" w:rsidP="00801F78">
      <w:pPr>
        <w:adjustRightInd w:val="0"/>
        <w:snapToGrid w:val="0"/>
        <w:spacing w:line="360" w:lineRule="auto"/>
        <w:ind w:firstLine="552"/>
        <w:rPr>
          <w:spacing w:val="-2"/>
          <w:sz w:val="32"/>
          <w:szCs w:val="32"/>
        </w:rPr>
      </w:pPr>
      <w:r w:rsidRPr="00C22324">
        <w:rPr>
          <w:rFonts w:hint="eastAsia"/>
          <w:spacing w:val="-2"/>
          <w:sz w:val="32"/>
          <w:szCs w:val="32"/>
        </w:rPr>
        <w:lastRenderedPageBreak/>
        <w:t>工作制度：一天三班工作制度，每班</w:t>
      </w:r>
      <w:r w:rsidRPr="00C22324">
        <w:rPr>
          <w:spacing w:val="-2"/>
          <w:sz w:val="32"/>
          <w:szCs w:val="32"/>
        </w:rPr>
        <w:t>8</w:t>
      </w:r>
      <w:r w:rsidRPr="00C22324">
        <w:rPr>
          <w:rFonts w:hint="eastAsia"/>
          <w:spacing w:val="-2"/>
          <w:sz w:val="32"/>
          <w:szCs w:val="32"/>
        </w:rPr>
        <w:t>小时，年运营</w:t>
      </w:r>
      <w:r w:rsidRPr="00C22324">
        <w:rPr>
          <w:spacing w:val="-2"/>
          <w:sz w:val="32"/>
          <w:szCs w:val="32"/>
        </w:rPr>
        <w:t>365</w:t>
      </w:r>
      <w:r w:rsidRPr="00C22324">
        <w:rPr>
          <w:rFonts w:hint="eastAsia"/>
          <w:spacing w:val="-2"/>
          <w:sz w:val="32"/>
          <w:szCs w:val="32"/>
        </w:rPr>
        <w:t>天。</w:t>
      </w:r>
    </w:p>
    <w:p w:rsidR="00D825AD" w:rsidRPr="00C22324" w:rsidRDefault="00D825AD" w:rsidP="00801F78">
      <w:pPr>
        <w:adjustRightInd w:val="0"/>
        <w:snapToGrid w:val="0"/>
        <w:spacing w:line="360" w:lineRule="auto"/>
        <w:ind w:firstLine="552"/>
        <w:rPr>
          <w:spacing w:val="-2"/>
          <w:sz w:val="32"/>
          <w:szCs w:val="32"/>
        </w:rPr>
      </w:pPr>
    </w:p>
    <w:p w:rsidR="00801F78" w:rsidRPr="00C22324" w:rsidRDefault="00D825AD" w:rsidP="00801F78">
      <w:pPr>
        <w:adjustRightInd w:val="0"/>
        <w:snapToGrid w:val="0"/>
        <w:spacing w:line="360" w:lineRule="auto"/>
        <w:ind w:firstLine="552"/>
        <w:rPr>
          <w:spacing w:val="-2"/>
          <w:sz w:val="32"/>
          <w:szCs w:val="32"/>
        </w:rPr>
      </w:pPr>
      <w:r w:rsidRPr="00C22324">
        <w:rPr>
          <w:rFonts w:hint="eastAsia"/>
          <w:spacing w:val="-2"/>
          <w:sz w:val="32"/>
          <w:szCs w:val="32"/>
        </w:rPr>
        <w:t>中国石化销售有限公司江苏盐城阜宁金沙湖加油站项目主体工程、辅助工程、生产工艺：</w:t>
      </w:r>
    </w:p>
    <w:p w:rsidR="00801F78" w:rsidRPr="00C22324" w:rsidRDefault="00801F78" w:rsidP="00801F78">
      <w:pPr>
        <w:widowControl/>
        <w:snapToGrid w:val="0"/>
        <w:spacing w:line="360" w:lineRule="auto"/>
        <w:jc w:val="center"/>
        <w:rPr>
          <w:rFonts w:ascii="Times New Roman" w:hAnsi="Times New Roman"/>
          <w:b/>
          <w:sz w:val="32"/>
          <w:szCs w:val="32"/>
        </w:rPr>
      </w:pPr>
      <w:r w:rsidRPr="00C22324">
        <w:rPr>
          <w:rFonts w:ascii="Times New Roman" w:hAnsi="Times New Roman" w:hint="eastAsia"/>
          <w:b/>
          <w:sz w:val="32"/>
          <w:szCs w:val="32"/>
        </w:rPr>
        <w:t>主要建设内容</w:t>
      </w:r>
    </w:p>
    <w:tbl>
      <w:tblPr>
        <w:tblW w:w="86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14"/>
        <w:gridCol w:w="2749"/>
        <w:gridCol w:w="1487"/>
        <w:gridCol w:w="1842"/>
        <w:gridCol w:w="1985"/>
      </w:tblGrid>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序号</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建筑物名称</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备注</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面积（</w:t>
            </w:r>
            <w:r w:rsidRPr="00C22324">
              <w:rPr>
                <w:rFonts w:ascii="Times New Roman" w:hAnsi="Times New Roman" w:cs="宋体" w:hint="eastAsia"/>
                <w:bCs/>
                <w:color w:val="000000" w:themeColor="text1"/>
                <w:kern w:val="0"/>
                <w:sz w:val="32"/>
                <w:szCs w:val="32"/>
              </w:rPr>
              <w:t>m</w:t>
            </w:r>
            <w:r w:rsidRPr="00C22324">
              <w:rPr>
                <w:rFonts w:ascii="Times New Roman" w:hAnsi="Times New Roman" w:cs="宋体" w:hint="eastAsia"/>
                <w:bCs/>
                <w:color w:val="000000" w:themeColor="text1"/>
                <w:kern w:val="0"/>
                <w:sz w:val="32"/>
                <w:szCs w:val="32"/>
                <w:vertAlign w:val="superscript"/>
              </w:rPr>
              <w:t>2</w:t>
            </w:r>
            <w:r w:rsidRPr="00C22324">
              <w:rPr>
                <w:rFonts w:ascii="Times New Roman" w:hAnsi="Times New Roman" w:cs="宋体" w:hint="eastAsia"/>
                <w:bCs/>
                <w:color w:val="000000" w:themeColor="text1"/>
                <w:kern w:val="0"/>
                <w:sz w:val="32"/>
                <w:szCs w:val="32"/>
              </w:rPr>
              <w:t>）</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建筑结构</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站房（含位于一层的便利店）</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二层</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399.42</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砖混</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雨棚</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576</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轻钢顶棚</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公厕</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位于站房内部</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化粪池</w:t>
            </w:r>
            <w:r w:rsidRPr="00C22324">
              <w:rPr>
                <w:rFonts w:ascii="Times New Roman" w:hAnsi="Times New Roman" w:cs="宋体" w:hint="eastAsia"/>
                <w:bCs/>
                <w:color w:val="000000" w:themeColor="text1"/>
                <w:kern w:val="0"/>
                <w:sz w:val="32"/>
                <w:szCs w:val="32"/>
              </w:rPr>
              <w:t xml:space="preserve"> </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6</w:t>
            </w:r>
            <w:r w:rsidRPr="00C22324">
              <w:rPr>
                <w:rFonts w:ascii="Times New Roman" w:hAnsi="Times New Roman" w:cs="宋体" w:hint="eastAsia"/>
                <w:bCs/>
                <w:color w:val="000000" w:themeColor="text1"/>
                <w:kern w:val="0"/>
                <w:sz w:val="32"/>
                <w:szCs w:val="32"/>
              </w:rPr>
              <w:t>（体积</w:t>
            </w:r>
            <w:r w:rsidRPr="00C22324">
              <w:rPr>
                <w:rFonts w:ascii="Times New Roman" w:hAnsi="Times New Roman" w:cs="宋体" w:hint="eastAsia"/>
                <w:bCs/>
                <w:color w:val="000000" w:themeColor="text1"/>
                <w:kern w:val="0"/>
                <w:sz w:val="32"/>
                <w:szCs w:val="32"/>
              </w:rPr>
              <w:t>12m</w:t>
            </w:r>
            <w:r w:rsidRPr="00C22324">
              <w:rPr>
                <w:rFonts w:ascii="Times New Roman" w:hAnsi="Times New Roman" w:cs="宋体" w:hint="eastAsia"/>
                <w:bCs/>
                <w:color w:val="000000" w:themeColor="text1"/>
                <w:kern w:val="0"/>
                <w:sz w:val="32"/>
                <w:szCs w:val="32"/>
                <w:vertAlign w:val="superscript"/>
              </w:rPr>
              <w:t>3</w:t>
            </w:r>
            <w:r w:rsidRPr="00C22324">
              <w:rPr>
                <w:rFonts w:ascii="Times New Roman" w:hAnsi="Times New Roman" w:cs="宋体" w:hint="eastAsia"/>
                <w:bCs/>
                <w:color w:val="000000" w:themeColor="text1"/>
                <w:kern w:val="0"/>
                <w:sz w:val="32"/>
                <w:szCs w:val="32"/>
              </w:rPr>
              <w:t>）</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水泥混凝土硬化并加入防渗设计</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5</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油气回收系统</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套</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6</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加油岛</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r w:rsidRPr="00C22324">
              <w:rPr>
                <w:rFonts w:ascii="Times New Roman" w:hAnsi="Times New Roman" w:cs="宋体" w:hint="eastAsia"/>
                <w:bCs/>
                <w:color w:val="000000" w:themeColor="text1"/>
                <w:kern w:val="0"/>
                <w:sz w:val="32"/>
                <w:szCs w:val="32"/>
              </w:rPr>
              <w:t>个</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r w:rsidRPr="00C22324">
              <w:rPr>
                <w:rFonts w:ascii="Times New Roman" w:hAnsi="Times New Roman" w:cs="宋体" w:hint="eastAsia"/>
                <w:bCs/>
                <w:color w:val="000000" w:themeColor="text1"/>
                <w:kern w:val="0"/>
                <w:sz w:val="32"/>
                <w:szCs w:val="32"/>
              </w:rPr>
              <w:t>×</w:t>
            </w:r>
            <w:r w:rsidRPr="00C22324">
              <w:rPr>
                <w:rFonts w:ascii="Times New Roman" w:hAnsi="Times New Roman" w:cs="宋体" w:hint="eastAsia"/>
                <w:bCs/>
                <w:color w:val="000000" w:themeColor="text1"/>
                <w:kern w:val="0"/>
                <w:sz w:val="32"/>
                <w:szCs w:val="32"/>
              </w:rPr>
              <w:t>4</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r>
      <w:tr w:rsidR="00801F78" w:rsidRPr="00C22324" w:rsidTr="009F09DE">
        <w:trPr>
          <w:trHeight w:val="556"/>
          <w:jc w:val="center"/>
        </w:trPr>
        <w:tc>
          <w:tcPr>
            <w:tcW w:w="614"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7</w:t>
            </w:r>
          </w:p>
        </w:tc>
        <w:tc>
          <w:tcPr>
            <w:tcW w:w="2749"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储罐区</w:t>
            </w:r>
          </w:p>
        </w:tc>
        <w:tc>
          <w:tcPr>
            <w:tcW w:w="1487"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842"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114.72</w:t>
            </w:r>
          </w:p>
        </w:tc>
        <w:tc>
          <w:tcPr>
            <w:tcW w:w="1985" w:type="dxa"/>
            <w:vAlign w:val="center"/>
          </w:tcPr>
          <w:p w:rsidR="00801F78" w:rsidRPr="00C22324" w:rsidRDefault="00801F78" w:rsidP="009F09DE">
            <w:pPr>
              <w:snapToGrid w:val="0"/>
              <w:spacing w:line="312"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地埋防腐防渗</w:t>
            </w:r>
          </w:p>
        </w:tc>
      </w:tr>
    </w:tbl>
    <w:p w:rsidR="00801F78" w:rsidRPr="00C22324" w:rsidRDefault="00801F78" w:rsidP="00801F78">
      <w:pPr>
        <w:snapToGrid w:val="0"/>
        <w:spacing w:line="360" w:lineRule="auto"/>
        <w:rPr>
          <w:rFonts w:ascii="Times New Roman" w:hAnsi="Times New Roman"/>
          <w:b/>
          <w:sz w:val="32"/>
          <w:szCs w:val="32"/>
        </w:rPr>
      </w:pPr>
    </w:p>
    <w:p w:rsidR="00801F78" w:rsidRPr="00C22324" w:rsidRDefault="00801F78" w:rsidP="00801F78">
      <w:pPr>
        <w:snapToGrid w:val="0"/>
        <w:spacing w:line="360" w:lineRule="auto"/>
        <w:jc w:val="center"/>
        <w:rPr>
          <w:rFonts w:ascii="Times New Roman" w:hAnsi="Times New Roman"/>
          <w:b/>
          <w:sz w:val="32"/>
          <w:szCs w:val="32"/>
        </w:rPr>
      </w:pPr>
      <w:r w:rsidRPr="00C22324">
        <w:rPr>
          <w:rFonts w:ascii="Times New Roman" w:hAnsi="Times New Roman" w:hint="eastAsia"/>
          <w:b/>
          <w:sz w:val="32"/>
          <w:szCs w:val="32"/>
        </w:rPr>
        <w:t>建设</w:t>
      </w:r>
      <w:r w:rsidRPr="00C22324">
        <w:rPr>
          <w:rFonts w:ascii="Times New Roman" w:hAnsi="Times New Roman"/>
          <w:b/>
          <w:sz w:val="32"/>
          <w:szCs w:val="32"/>
        </w:rPr>
        <w:t>项目主要设施及设备</w:t>
      </w:r>
    </w:p>
    <w:p w:rsidR="00801F78" w:rsidRPr="00C22324" w:rsidRDefault="00801F78" w:rsidP="00801F78">
      <w:pPr>
        <w:snapToGrid w:val="0"/>
        <w:spacing w:line="360" w:lineRule="auto"/>
        <w:jc w:val="center"/>
        <w:rPr>
          <w:rFonts w:ascii="Times New Roman" w:hAnsi="Times New Roman" w:cs="宋体"/>
          <w:bCs/>
          <w:color w:val="000000" w:themeColor="text1"/>
          <w:kern w:val="0"/>
          <w:sz w:val="32"/>
          <w:szCs w:val="32"/>
        </w:rPr>
      </w:pPr>
    </w:p>
    <w:tbl>
      <w:tblPr>
        <w:tblW w:w="84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3"/>
        <w:gridCol w:w="2059"/>
        <w:gridCol w:w="1701"/>
        <w:gridCol w:w="1417"/>
        <w:gridCol w:w="1134"/>
        <w:gridCol w:w="1158"/>
      </w:tblGrid>
      <w:tr w:rsidR="00801F78" w:rsidRPr="00C22324" w:rsidTr="009F09DE">
        <w:trPr>
          <w:cantSplit/>
          <w:trHeight w:hRule="exact" w:val="499"/>
          <w:tblHeader/>
          <w:jc w:val="center"/>
        </w:trPr>
        <w:tc>
          <w:tcPr>
            <w:tcW w:w="973"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bookmarkStart w:id="0" w:name="_Toc450570865"/>
            <w:r w:rsidRPr="00C22324">
              <w:rPr>
                <w:rFonts w:ascii="Times New Roman" w:hAnsi="Times New Roman" w:cs="宋体" w:hint="eastAsia"/>
                <w:bCs/>
                <w:color w:val="000000" w:themeColor="text1"/>
                <w:kern w:val="0"/>
                <w:sz w:val="32"/>
                <w:szCs w:val="32"/>
              </w:rPr>
              <w:t>序号</w:t>
            </w:r>
            <w:bookmarkEnd w:id="0"/>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bookmarkStart w:id="1" w:name="_Toc450570866"/>
            <w:r w:rsidRPr="00C22324">
              <w:rPr>
                <w:rFonts w:ascii="Times New Roman" w:hAnsi="Times New Roman" w:cs="宋体" w:hint="eastAsia"/>
                <w:bCs/>
                <w:color w:val="000000" w:themeColor="text1"/>
                <w:kern w:val="0"/>
                <w:sz w:val="32"/>
                <w:szCs w:val="32"/>
              </w:rPr>
              <w:t>设备名称</w:t>
            </w:r>
            <w:bookmarkEnd w:id="1"/>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bookmarkStart w:id="2" w:name="_Toc450570867"/>
            <w:r w:rsidRPr="00C22324">
              <w:rPr>
                <w:rFonts w:ascii="Times New Roman" w:hAnsi="Times New Roman" w:cs="宋体" w:hint="eastAsia"/>
                <w:bCs/>
                <w:color w:val="000000" w:themeColor="text1"/>
                <w:kern w:val="0"/>
                <w:sz w:val="32"/>
                <w:szCs w:val="32"/>
              </w:rPr>
              <w:t>型号及规格</w:t>
            </w:r>
            <w:bookmarkEnd w:id="2"/>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bookmarkStart w:id="3" w:name="_Toc450570868"/>
            <w:r w:rsidRPr="00C22324">
              <w:rPr>
                <w:rFonts w:ascii="Times New Roman" w:hAnsi="Times New Roman" w:cs="宋体" w:hint="eastAsia"/>
                <w:bCs/>
                <w:color w:val="000000" w:themeColor="text1"/>
                <w:kern w:val="0"/>
                <w:sz w:val="32"/>
                <w:szCs w:val="32"/>
              </w:rPr>
              <w:t>环评数量</w:t>
            </w:r>
            <w:bookmarkEnd w:id="3"/>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实际数量</w:t>
            </w:r>
          </w:p>
        </w:tc>
      </w:tr>
      <w:tr w:rsidR="00801F78" w:rsidRPr="00C22324" w:rsidTr="009F09DE">
        <w:trPr>
          <w:cantSplit/>
          <w:trHeight w:hRule="exact" w:val="499"/>
          <w:jc w:val="center"/>
        </w:trPr>
        <w:tc>
          <w:tcPr>
            <w:tcW w:w="973"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95#</w:t>
            </w:r>
            <w:r w:rsidRPr="00C22324">
              <w:rPr>
                <w:rFonts w:ascii="Times New Roman" w:hAnsi="Times New Roman" w:cs="宋体" w:hint="eastAsia"/>
                <w:bCs/>
                <w:color w:val="000000" w:themeColor="text1"/>
                <w:kern w:val="0"/>
                <w:sz w:val="32"/>
                <w:szCs w:val="32"/>
              </w:rPr>
              <w:t>汽油储罐</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30m3</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r>
      <w:tr w:rsidR="00801F78" w:rsidRPr="00C22324" w:rsidTr="009F09DE">
        <w:trPr>
          <w:cantSplit/>
          <w:trHeight w:hRule="exact" w:val="499"/>
          <w:jc w:val="center"/>
        </w:trPr>
        <w:tc>
          <w:tcPr>
            <w:tcW w:w="973"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92#</w:t>
            </w:r>
            <w:r w:rsidRPr="00C22324">
              <w:rPr>
                <w:rFonts w:ascii="Times New Roman" w:hAnsi="Times New Roman" w:cs="宋体" w:hint="eastAsia"/>
                <w:bCs/>
                <w:color w:val="000000" w:themeColor="text1"/>
                <w:kern w:val="0"/>
                <w:sz w:val="32"/>
                <w:szCs w:val="32"/>
              </w:rPr>
              <w:t>汽油储罐</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30m3</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台</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台</w:t>
            </w:r>
          </w:p>
        </w:tc>
      </w:tr>
      <w:tr w:rsidR="00801F78" w:rsidRPr="00C22324" w:rsidTr="009F09DE">
        <w:trPr>
          <w:cantSplit/>
          <w:trHeight w:hRule="exact" w:val="499"/>
          <w:jc w:val="center"/>
        </w:trPr>
        <w:tc>
          <w:tcPr>
            <w:tcW w:w="973"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0#</w:t>
            </w:r>
            <w:r w:rsidRPr="00C22324">
              <w:rPr>
                <w:rFonts w:ascii="Times New Roman" w:hAnsi="Times New Roman" w:cs="宋体" w:hint="eastAsia"/>
                <w:bCs/>
                <w:color w:val="000000" w:themeColor="text1"/>
                <w:kern w:val="0"/>
                <w:sz w:val="32"/>
                <w:szCs w:val="32"/>
              </w:rPr>
              <w:t>柴油储罐</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30m3</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r>
      <w:tr w:rsidR="00801F78" w:rsidRPr="00C22324" w:rsidTr="009F09DE">
        <w:trPr>
          <w:cantSplit/>
          <w:trHeight w:hRule="exact" w:val="499"/>
          <w:jc w:val="center"/>
        </w:trPr>
        <w:tc>
          <w:tcPr>
            <w:tcW w:w="973"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-10#</w:t>
            </w:r>
            <w:r w:rsidRPr="00C22324">
              <w:rPr>
                <w:rFonts w:ascii="Times New Roman" w:hAnsi="Times New Roman" w:cs="宋体" w:hint="eastAsia"/>
                <w:bCs/>
                <w:color w:val="000000" w:themeColor="text1"/>
                <w:kern w:val="0"/>
                <w:sz w:val="32"/>
                <w:szCs w:val="32"/>
              </w:rPr>
              <w:t>柴油储罐</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30m3</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台</w:t>
            </w:r>
          </w:p>
        </w:tc>
      </w:tr>
      <w:tr w:rsidR="00801F78" w:rsidRPr="00C22324" w:rsidTr="009F09DE">
        <w:trPr>
          <w:cantSplit/>
          <w:trHeight w:hRule="exact" w:val="499"/>
          <w:jc w:val="center"/>
        </w:trPr>
        <w:tc>
          <w:tcPr>
            <w:tcW w:w="973"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3</w:t>
            </w: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单品种双枪加油机</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潜油泵型</w:t>
            </w:r>
            <w:r w:rsidRPr="00C22324">
              <w:rPr>
                <w:rFonts w:ascii="Times New Roman" w:hAnsi="Times New Roman" w:cs="宋体" w:hint="eastAsia"/>
                <w:bCs/>
                <w:color w:val="000000" w:themeColor="text1"/>
                <w:kern w:val="0"/>
                <w:sz w:val="32"/>
                <w:szCs w:val="32"/>
              </w:rPr>
              <w:t>ZVA200GVR</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r w:rsidRPr="00C22324">
              <w:rPr>
                <w:rFonts w:ascii="Times New Roman" w:hAnsi="Times New Roman" w:cs="宋体" w:hint="eastAsia"/>
                <w:bCs/>
                <w:color w:val="000000" w:themeColor="text1"/>
                <w:kern w:val="0"/>
                <w:sz w:val="32"/>
                <w:szCs w:val="32"/>
              </w:rPr>
              <w:t>台</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r w:rsidRPr="00C22324">
              <w:rPr>
                <w:rFonts w:ascii="Times New Roman" w:hAnsi="Times New Roman" w:cs="宋体" w:hint="eastAsia"/>
                <w:bCs/>
                <w:color w:val="000000" w:themeColor="text1"/>
                <w:kern w:val="0"/>
                <w:sz w:val="32"/>
                <w:szCs w:val="32"/>
              </w:rPr>
              <w:t>台</w:t>
            </w:r>
          </w:p>
        </w:tc>
      </w:tr>
      <w:tr w:rsidR="00801F78" w:rsidRPr="00C22324" w:rsidTr="009F09DE">
        <w:trPr>
          <w:cantSplit/>
          <w:trHeight w:hRule="exact" w:val="499"/>
          <w:jc w:val="center"/>
        </w:trPr>
        <w:tc>
          <w:tcPr>
            <w:tcW w:w="973"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4</w:t>
            </w:r>
          </w:p>
        </w:tc>
        <w:tc>
          <w:tcPr>
            <w:tcW w:w="2059"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油气回收装置</w:t>
            </w:r>
          </w:p>
        </w:tc>
        <w:tc>
          <w:tcPr>
            <w:tcW w:w="1701"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集中式真空泵</w:t>
            </w:r>
          </w:p>
        </w:tc>
        <w:tc>
          <w:tcPr>
            <w:tcW w:w="1417"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DR-160</w:t>
            </w:r>
          </w:p>
        </w:tc>
        <w:tc>
          <w:tcPr>
            <w:tcW w:w="1134"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套</w:t>
            </w:r>
          </w:p>
        </w:tc>
        <w:tc>
          <w:tcPr>
            <w:tcW w:w="1158" w:type="dxa"/>
            <w:vMerge w:val="restart"/>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1</w:t>
            </w:r>
            <w:r w:rsidRPr="00C22324">
              <w:rPr>
                <w:rFonts w:ascii="Times New Roman" w:hAnsi="Times New Roman" w:cs="宋体" w:hint="eastAsia"/>
                <w:bCs/>
                <w:color w:val="000000" w:themeColor="text1"/>
                <w:kern w:val="0"/>
                <w:sz w:val="32"/>
                <w:szCs w:val="32"/>
              </w:rPr>
              <w:t>套</w:t>
            </w:r>
          </w:p>
        </w:tc>
      </w:tr>
      <w:tr w:rsidR="00801F78" w:rsidRPr="00C22324" w:rsidTr="009F09DE">
        <w:trPr>
          <w:cantSplit/>
          <w:trHeight w:hRule="exact" w:val="499"/>
          <w:jc w:val="center"/>
        </w:trPr>
        <w:tc>
          <w:tcPr>
            <w:tcW w:w="973"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2059"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1701"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油气回收油枪</w:t>
            </w:r>
          </w:p>
        </w:tc>
        <w:tc>
          <w:tcPr>
            <w:tcW w:w="1417"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ZVA200GVR</w:t>
            </w:r>
          </w:p>
        </w:tc>
        <w:tc>
          <w:tcPr>
            <w:tcW w:w="1134"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1158"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r>
      <w:tr w:rsidR="00801F78" w:rsidRPr="00C22324" w:rsidTr="009F09DE">
        <w:trPr>
          <w:cantSplit/>
          <w:trHeight w:hRule="exact" w:val="499"/>
          <w:jc w:val="center"/>
        </w:trPr>
        <w:tc>
          <w:tcPr>
            <w:tcW w:w="973"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2059"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1701"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油气分离器</w:t>
            </w:r>
          </w:p>
        </w:tc>
        <w:tc>
          <w:tcPr>
            <w:tcW w:w="1417"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DR-VA807</w:t>
            </w:r>
          </w:p>
        </w:tc>
        <w:tc>
          <w:tcPr>
            <w:tcW w:w="1134"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c>
          <w:tcPr>
            <w:tcW w:w="1158" w:type="dxa"/>
            <w:vMerge/>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p>
        </w:tc>
      </w:tr>
      <w:tr w:rsidR="00801F78" w:rsidRPr="00C22324" w:rsidTr="009F09DE">
        <w:trPr>
          <w:cantSplit/>
          <w:trHeight w:hRule="exact" w:val="499"/>
          <w:jc w:val="center"/>
        </w:trPr>
        <w:tc>
          <w:tcPr>
            <w:tcW w:w="973"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5</w:t>
            </w: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消防沙箱</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套</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套</w:t>
            </w:r>
          </w:p>
        </w:tc>
      </w:tr>
      <w:tr w:rsidR="00801F78" w:rsidRPr="00C22324" w:rsidTr="009F09DE">
        <w:trPr>
          <w:cantSplit/>
          <w:trHeight w:hRule="exact" w:val="499"/>
          <w:jc w:val="center"/>
        </w:trPr>
        <w:tc>
          <w:tcPr>
            <w:tcW w:w="973"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6</w:t>
            </w:r>
          </w:p>
        </w:tc>
        <w:tc>
          <w:tcPr>
            <w:tcW w:w="2059"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消防器材箱</w:t>
            </w:r>
          </w:p>
        </w:tc>
        <w:tc>
          <w:tcPr>
            <w:tcW w:w="3118" w:type="dxa"/>
            <w:gridSpan w:val="2"/>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w:t>
            </w:r>
          </w:p>
        </w:tc>
        <w:tc>
          <w:tcPr>
            <w:tcW w:w="1134"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套</w:t>
            </w:r>
          </w:p>
        </w:tc>
        <w:tc>
          <w:tcPr>
            <w:tcW w:w="1158" w:type="dxa"/>
            <w:vAlign w:val="center"/>
          </w:tcPr>
          <w:p w:rsidR="00801F78" w:rsidRPr="00C22324" w:rsidRDefault="00801F78" w:rsidP="009F09DE">
            <w:pPr>
              <w:snapToGrid w:val="0"/>
              <w:spacing w:line="288" w:lineRule="auto"/>
              <w:jc w:val="center"/>
              <w:rPr>
                <w:rFonts w:ascii="Times New Roman" w:hAnsi="Times New Roman" w:cs="宋体"/>
                <w:bCs/>
                <w:color w:val="000000" w:themeColor="text1"/>
                <w:kern w:val="0"/>
                <w:sz w:val="32"/>
                <w:szCs w:val="32"/>
              </w:rPr>
            </w:pPr>
            <w:r w:rsidRPr="00C22324">
              <w:rPr>
                <w:rFonts w:ascii="Times New Roman" w:hAnsi="Times New Roman" w:cs="宋体" w:hint="eastAsia"/>
                <w:bCs/>
                <w:color w:val="000000" w:themeColor="text1"/>
                <w:kern w:val="0"/>
                <w:sz w:val="32"/>
                <w:szCs w:val="32"/>
              </w:rPr>
              <w:t>2</w:t>
            </w:r>
            <w:r w:rsidRPr="00C22324">
              <w:rPr>
                <w:rFonts w:ascii="Times New Roman" w:hAnsi="Times New Roman" w:cs="宋体" w:hint="eastAsia"/>
                <w:bCs/>
                <w:color w:val="000000" w:themeColor="text1"/>
                <w:kern w:val="0"/>
                <w:sz w:val="32"/>
                <w:szCs w:val="32"/>
              </w:rPr>
              <w:t>套</w:t>
            </w:r>
          </w:p>
        </w:tc>
      </w:tr>
    </w:tbl>
    <w:p w:rsidR="00801F78" w:rsidRPr="00C22324" w:rsidRDefault="00801F78" w:rsidP="00C22324">
      <w:pPr>
        <w:pStyle w:val="2"/>
        <w:snapToGrid w:val="0"/>
        <w:spacing w:before="0" w:after="0" w:line="360" w:lineRule="auto"/>
        <w:ind w:firstLineChars="200" w:firstLine="640"/>
        <w:rPr>
          <w:rFonts w:ascii="黑体" w:eastAsia="黑体" w:hAnsi="Times New Roman" w:cs="Times New Roman"/>
          <w:b w:val="0"/>
        </w:rPr>
      </w:pPr>
      <w:bookmarkStart w:id="4" w:name="_Toc516045787"/>
      <w:r w:rsidRPr="00C22324">
        <w:rPr>
          <w:rFonts w:ascii="黑体" w:eastAsia="黑体" w:hAnsi="Times New Roman" w:cs="Times New Roman" w:hint="eastAsia"/>
          <w:b w:val="0"/>
        </w:rPr>
        <w:t>水源及水平衡</w:t>
      </w:r>
      <w:bookmarkEnd w:id="4"/>
    </w:p>
    <w:p w:rsidR="00801F78" w:rsidRPr="00C22324" w:rsidRDefault="00801F78" w:rsidP="00C22324">
      <w:pPr>
        <w:tabs>
          <w:tab w:val="left" w:pos="1680"/>
        </w:tabs>
        <w:snapToGrid w:val="0"/>
        <w:spacing w:line="360" w:lineRule="auto"/>
        <w:ind w:firstLineChars="200" w:firstLine="640"/>
        <w:rPr>
          <w:rFonts w:ascii="Times New Roman" w:eastAsiaTheme="majorEastAsia" w:hAnsi="Times New Roman"/>
          <w:bCs/>
          <w:sz w:val="32"/>
          <w:szCs w:val="32"/>
        </w:rPr>
      </w:pPr>
      <w:r w:rsidRPr="00C22324">
        <w:rPr>
          <w:rFonts w:ascii="Times New Roman" w:eastAsiaTheme="majorEastAsia" w:hAnsi="Times New Roman" w:hint="eastAsia"/>
          <w:bCs/>
          <w:sz w:val="32"/>
          <w:szCs w:val="32"/>
        </w:rPr>
        <w:t>项目不设职工宿舍、食堂，项目不产生生产废水，生活污水主要是职工、顾客的洗手水，全部进入化粪池（化粪池应加入防渗设计，防止对地下水的污染）统一处理后农用（非农灌），不外排，项目废水对周围环境的影响较小。场区地面均做硬化处理，项目废水对地下水影响较小。</w:t>
      </w:r>
    </w:p>
    <w:p w:rsidR="00801F78" w:rsidRPr="00C22324" w:rsidRDefault="00801F78" w:rsidP="00C22324">
      <w:pPr>
        <w:pStyle w:val="2"/>
        <w:snapToGrid w:val="0"/>
        <w:spacing w:before="0" w:after="0" w:line="360" w:lineRule="auto"/>
        <w:ind w:firstLineChars="150" w:firstLine="480"/>
        <w:rPr>
          <w:rFonts w:ascii="黑体" w:eastAsia="黑体" w:hAnsi="Times New Roman" w:cs="Times New Roman"/>
          <w:b w:val="0"/>
        </w:rPr>
      </w:pPr>
      <w:bookmarkStart w:id="5" w:name="_Toc516045788"/>
      <w:r w:rsidRPr="00C22324">
        <w:rPr>
          <w:rFonts w:ascii="黑体" w:eastAsia="黑体" w:hAnsi="Times New Roman" w:cs="Times New Roman" w:hint="eastAsia"/>
          <w:b w:val="0"/>
        </w:rPr>
        <w:t>生产工艺</w:t>
      </w:r>
      <w:bookmarkEnd w:id="5"/>
    </w:p>
    <w:p w:rsidR="00801F78" w:rsidRPr="00C22324" w:rsidRDefault="00801F78" w:rsidP="00C22324">
      <w:pPr>
        <w:snapToGrid w:val="0"/>
        <w:spacing w:line="360" w:lineRule="auto"/>
        <w:ind w:firstLineChars="150" w:firstLine="480"/>
        <w:rPr>
          <w:rFonts w:ascii="楷体_GB2312" w:eastAsia="楷体_GB2312"/>
          <w:sz w:val="32"/>
          <w:szCs w:val="32"/>
        </w:rPr>
      </w:pPr>
      <w:r w:rsidRPr="00C22324">
        <w:rPr>
          <w:rFonts w:ascii="楷体_GB2312" w:eastAsia="楷体_GB2312" w:hint="eastAsia"/>
          <w:sz w:val="32"/>
          <w:szCs w:val="32"/>
        </w:rPr>
        <w:t>工艺流程及简述：</w:t>
      </w:r>
    </w:p>
    <w:p w:rsidR="00801F78" w:rsidRPr="00C22324" w:rsidRDefault="00801F78" w:rsidP="00C22324">
      <w:pPr>
        <w:adjustRightInd w:val="0"/>
        <w:snapToGrid w:val="0"/>
        <w:spacing w:line="360" w:lineRule="auto"/>
        <w:ind w:firstLineChars="150" w:firstLine="480"/>
        <w:jc w:val="left"/>
        <w:rPr>
          <w:rFonts w:ascii="宋体" w:hAnsi="宋体" w:cs="宋体"/>
          <w:kern w:val="0"/>
          <w:sz w:val="32"/>
          <w:szCs w:val="32"/>
        </w:rPr>
      </w:pPr>
      <w:r w:rsidRPr="00C22324">
        <w:rPr>
          <w:rFonts w:ascii="宋体" w:hAnsi="宋体" w:cs="宋体" w:hint="eastAsia"/>
          <w:kern w:val="0"/>
          <w:sz w:val="32"/>
          <w:szCs w:val="32"/>
        </w:rPr>
        <w:t>项目工艺流程及产污环节见图同时加油站内配套有便利店，零售食品、饮料等商品</w:t>
      </w:r>
      <w:r w:rsidR="00EB7666" w:rsidRPr="00C22324">
        <w:rPr>
          <w:rFonts w:ascii="宋体" w:hAnsi="宋体" w:cs="宋体" w:hint="eastAsia"/>
          <w:kern w:val="0"/>
          <w:sz w:val="32"/>
          <w:szCs w:val="32"/>
        </w:rPr>
        <w:t>。</w:t>
      </w:r>
    </w:p>
    <w:p w:rsidR="00801F78" w:rsidRPr="00C22324" w:rsidRDefault="00801F78" w:rsidP="00801F78">
      <w:pPr>
        <w:adjustRightInd w:val="0"/>
        <w:snapToGrid w:val="0"/>
        <w:spacing w:line="360" w:lineRule="auto"/>
        <w:ind w:firstLine="570"/>
        <w:jc w:val="left"/>
        <w:rPr>
          <w:rFonts w:ascii="宋体" w:hAnsi="宋体" w:cs="宋体"/>
          <w:kern w:val="0"/>
          <w:sz w:val="32"/>
          <w:szCs w:val="32"/>
        </w:rPr>
      </w:pPr>
      <w:r w:rsidRPr="00C22324">
        <w:rPr>
          <w:rFonts w:ascii="宋体" w:hAnsi="宋体" w:cs="宋体" w:hint="eastAsia"/>
          <w:kern w:val="0"/>
          <w:sz w:val="32"/>
          <w:szCs w:val="32"/>
        </w:rPr>
        <w:t>①卸油工艺流程：</w:t>
      </w:r>
    </w:p>
    <w:p w:rsidR="00801F78" w:rsidRPr="00C22324" w:rsidRDefault="00801F78" w:rsidP="00801F78">
      <w:pPr>
        <w:snapToGrid w:val="0"/>
        <w:spacing w:line="360" w:lineRule="auto"/>
        <w:rPr>
          <w:sz w:val="32"/>
          <w:szCs w:val="32"/>
        </w:rPr>
      </w:pPr>
      <w:r w:rsidRPr="00C22324">
        <w:rPr>
          <w:rFonts w:eastAsia="仿宋_GB2312"/>
          <w:noProof/>
          <w:color w:val="000000"/>
          <w:sz w:val="32"/>
          <w:szCs w:val="32"/>
        </w:rPr>
        <w:drawing>
          <wp:inline distT="0" distB="0" distL="0" distR="0">
            <wp:extent cx="5702300" cy="990600"/>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srcRect/>
                    <a:stretch>
                      <a:fillRect/>
                    </a:stretch>
                  </pic:blipFill>
                  <pic:spPr bwMode="auto">
                    <a:xfrm>
                      <a:off x="0" y="0"/>
                      <a:ext cx="5702300" cy="990600"/>
                    </a:xfrm>
                    <a:prstGeom prst="rect">
                      <a:avLst/>
                    </a:prstGeom>
                    <a:noFill/>
                    <a:ln w="9525">
                      <a:noFill/>
                      <a:miter lim="800000"/>
                      <a:headEnd/>
                      <a:tailEnd/>
                    </a:ln>
                  </pic:spPr>
                </pic:pic>
              </a:graphicData>
            </a:graphic>
          </wp:inline>
        </w:drawing>
      </w:r>
    </w:p>
    <w:p w:rsidR="00801F78" w:rsidRPr="00C22324" w:rsidRDefault="00801F78" w:rsidP="00801F78">
      <w:pPr>
        <w:adjustRightInd w:val="0"/>
        <w:snapToGrid w:val="0"/>
        <w:spacing w:line="360" w:lineRule="auto"/>
        <w:ind w:firstLine="570"/>
        <w:jc w:val="left"/>
        <w:rPr>
          <w:rFonts w:ascii="宋体" w:hAnsi="宋体" w:cs="宋体"/>
          <w:kern w:val="0"/>
          <w:sz w:val="32"/>
          <w:szCs w:val="32"/>
        </w:rPr>
      </w:pPr>
      <w:r w:rsidRPr="00C22324">
        <w:rPr>
          <w:rFonts w:ascii="宋体" w:hAnsi="宋体" w:cs="宋体" w:hint="eastAsia"/>
          <w:kern w:val="0"/>
          <w:sz w:val="32"/>
          <w:szCs w:val="32"/>
        </w:rPr>
        <w:lastRenderedPageBreak/>
        <w:t>本项目所销售的成品油采用油罐车运输方式运入地下储罐，由于汽油属于易挥发、易燃油品，卸油采用浸没式卸油方式。通过设置密闭汽油油气回收系统，油罐车向汽油储罐中卸油过程中产生的油气，大部分通过汽油油气回收系统返回至油罐车内。每个储油罐通气管上设置机械呼吸阀，当卸油速度过快或者其他原因导致油罐内压力超过机械呼吸阀设定压力极限时油气排出。</w:t>
      </w:r>
    </w:p>
    <w:p w:rsidR="00801F78" w:rsidRPr="00C22324" w:rsidRDefault="00801F78" w:rsidP="00801F78">
      <w:pPr>
        <w:adjustRightInd w:val="0"/>
        <w:snapToGrid w:val="0"/>
        <w:spacing w:line="360" w:lineRule="auto"/>
        <w:ind w:firstLine="570"/>
        <w:jc w:val="left"/>
        <w:rPr>
          <w:rFonts w:ascii="宋体" w:hAnsi="宋体" w:cs="宋体"/>
          <w:kern w:val="0"/>
          <w:sz w:val="32"/>
          <w:szCs w:val="32"/>
        </w:rPr>
      </w:pPr>
      <w:r w:rsidRPr="00C22324">
        <w:rPr>
          <w:rFonts w:ascii="宋体" w:hAnsi="宋体" w:cs="宋体" w:hint="eastAsia"/>
          <w:kern w:val="0"/>
          <w:sz w:val="32"/>
          <w:szCs w:val="32"/>
        </w:rPr>
        <w:t>②加油工艺流程</w:t>
      </w:r>
    </w:p>
    <w:p w:rsidR="00801F78" w:rsidRPr="00C22324" w:rsidRDefault="00801F78" w:rsidP="00801F78">
      <w:pPr>
        <w:adjustRightInd w:val="0"/>
        <w:snapToGrid w:val="0"/>
        <w:spacing w:line="360" w:lineRule="auto"/>
        <w:ind w:firstLine="570"/>
        <w:jc w:val="center"/>
        <w:rPr>
          <w:rFonts w:ascii="黑体" w:eastAsia="黑体" w:hAnsi="黑体"/>
          <w:sz w:val="32"/>
          <w:szCs w:val="32"/>
        </w:rPr>
      </w:pPr>
      <w:r w:rsidRPr="00C22324">
        <w:rPr>
          <w:rFonts w:eastAsia="仿宋_GB2312"/>
          <w:noProof/>
          <w:color w:val="000000"/>
          <w:sz w:val="32"/>
          <w:szCs w:val="32"/>
        </w:rPr>
        <w:drawing>
          <wp:inline distT="0" distB="0" distL="0" distR="0">
            <wp:extent cx="5092700" cy="100330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srcRect/>
                    <a:stretch>
                      <a:fillRect/>
                    </a:stretch>
                  </pic:blipFill>
                  <pic:spPr bwMode="auto">
                    <a:xfrm>
                      <a:off x="0" y="0"/>
                      <a:ext cx="5092700" cy="1003300"/>
                    </a:xfrm>
                    <a:prstGeom prst="rect">
                      <a:avLst/>
                    </a:prstGeom>
                    <a:noFill/>
                    <a:ln w="9525">
                      <a:noFill/>
                      <a:miter lim="800000"/>
                      <a:headEnd/>
                      <a:tailEnd/>
                    </a:ln>
                  </pic:spPr>
                </pic:pic>
              </a:graphicData>
            </a:graphic>
          </wp:inline>
        </w:drawing>
      </w:r>
    </w:p>
    <w:p w:rsidR="00801F78" w:rsidRPr="00C22324" w:rsidRDefault="00801F78" w:rsidP="00C22324">
      <w:pPr>
        <w:adjustRightInd w:val="0"/>
        <w:snapToGrid w:val="0"/>
        <w:spacing w:line="360" w:lineRule="auto"/>
        <w:ind w:firstLineChars="200" w:firstLine="640"/>
        <w:rPr>
          <w:rFonts w:ascii="宋体" w:hAnsi="宋体" w:cs="宋体"/>
          <w:kern w:val="0"/>
          <w:sz w:val="32"/>
          <w:szCs w:val="32"/>
        </w:rPr>
      </w:pPr>
      <w:r w:rsidRPr="00C22324">
        <w:rPr>
          <w:rFonts w:ascii="宋体" w:hAnsi="宋体" w:cs="宋体" w:hint="eastAsia"/>
          <w:kern w:val="0"/>
          <w:sz w:val="32"/>
          <w:szCs w:val="32"/>
        </w:rPr>
        <w:t>需要加油汽车进站后停靠在罩棚内加油岛的加油机旁，埋地油罐与加油机采用埋地敷设管道连接。采用正压加油工艺，通过潜油泵将油罐内汽油经加油机上配备的加油枪输送至汽车油箱的过程。通过在加油机内设置油气流速控制阀（此控制阀随着加油的速度变化调节），可以将气液比控制在1.0至1.2的合格范围，产生的油气通过汽油油气回收系统送回至储罐中。由于各种原因导致储油罐内压力超过机械呼吸阀设定压力极限时油气经机械呼吸阀排出，通常情况下加油油气回收系统的汽油油气回收率为95%。</w:t>
      </w:r>
    </w:p>
    <w:p w:rsidR="00801F78" w:rsidRPr="00C22324" w:rsidRDefault="00801F78" w:rsidP="00C22324">
      <w:pPr>
        <w:adjustRightInd w:val="0"/>
        <w:snapToGrid w:val="0"/>
        <w:spacing w:line="360" w:lineRule="auto"/>
        <w:ind w:firstLineChars="200" w:firstLine="640"/>
        <w:rPr>
          <w:rFonts w:ascii="楷体_GB2312" w:eastAsia="楷体_GB2312" w:hAnsi="宋体" w:cs="宋体"/>
          <w:kern w:val="0"/>
          <w:sz w:val="32"/>
          <w:szCs w:val="32"/>
        </w:rPr>
      </w:pPr>
      <w:r w:rsidRPr="00C22324">
        <w:rPr>
          <w:rFonts w:ascii="楷体_GB2312" w:eastAsia="楷体_GB2312" w:hint="eastAsia"/>
          <w:sz w:val="32"/>
          <w:szCs w:val="32"/>
        </w:rPr>
        <w:t>油气回收系统简介</w:t>
      </w:r>
    </w:p>
    <w:p w:rsidR="00801F78" w:rsidRPr="00C22324" w:rsidRDefault="00801F78" w:rsidP="00C22324">
      <w:pPr>
        <w:adjustRightInd w:val="0"/>
        <w:snapToGrid w:val="0"/>
        <w:spacing w:line="360" w:lineRule="auto"/>
        <w:ind w:firstLineChars="200" w:firstLine="640"/>
        <w:rPr>
          <w:rFonts w:ascii="宋体" w:hAnsi="宋体" w:cs="宋体"/>
          <w:kern w:val="0"/>
          <w:sz w:val="32"/>
          <w:szCs w:val="32"/>
        </w:rPr>
      </w:pPr>
      <w:r w:rsidRPr="00C22324">
        <w:rPr>
          <w:rFonts w:ascii="宋体" w:hAnsi="宋体" w:cs="宋体" w:hint="eastAsia"/>
          <w:kern w:val="0"/>
          <w:sz w:val="32"/>
          <w:szCs w:val="32"/>
        </w:rPr>
        <w:t>加油站加油、油车泄油过程中会产生很多油气散发到大气，既危害人体健康又带来安全隐患，同时造成能源流失与浪费。由</w:t>
      </w:r>
      <w:r w:rsidRPr="00C22324">
        <w:rPr>
          <w:rFonts w:ascii="宋体" w:hAnsi="宋体" w:cs="宋体" w:hint="eastAsia"/>
          <w:kern w:val="0"/>
          <w:sz w:val="32"/>
          <w:szCs w:val="32"/>
        </w:rPr>
        <w:lastRenderedPageBreak/>
        <w:t>此须将汽车加油时所产生油气回收至油罐装置称为加油站油气回收系统，通常也被称之为二次油气回收。加油机发油时通过油气回收专用油枪、油气回收胶管、油气分离器、回收真空泵等产品和部件组成的回收系统将油气收回地下储油罐。根据加油站的加油机和地下管路的不同条件，可分别选择集中式或分散式回收系统，本项目选择集中式回收系统。</w:t>
      </w:r>
    </w:p>
    <w:p w:rsidR="00801F78" w:rsidRPr="00C22324" w:rsidRDefault="00801F78" w:rsidP="00C22324">
      <w:pPr>
        <w:adjustRightInd w:val="0"/>
        <w:snapToGrid w:val="0"/>
        <w:spacing w:line="360" w:lineRule="auto"/>
        <w:ind w:firstLineChars="200" w:firstLine="640"/>
        <w:jc w:val="center"/>
        <w:rPr>
          <w:rFonts w:ascii="楷体_GB2312" w:eastAsia="楷体_GB2312" w:hAnsiTheme="minorEastAsia"/>
          <w:color w:val="000000"/>
          <w:sz w:val="32"/>
          <w:szCs w:val="32"/>
        </w:rPr>
      </w:pPr>
      <w:r w:rsidRPr="00C22324">
        <w:rPr>
          <w:rFonts w:ascii="楷体_GB2312" w:eastAsia="楷体_GB2312" w:hAnsiTheme="minorEastAsia" w:hint="eastAsia"/>
          <w:color w:val="000000"/>
          <w:sz w:val="32"/>
          <w:szCs w:val="32"/>
        </w:rPr>
        <w:t>油气回收系统结构示意图</w:t>
      </w:r>
    </w:p>
    <w:p w:rsidR="00801F78" w:rsidRPr="00C22324" w:rsidRDefault="00801F78" w:rsidP="00C22324">
      <w:pPr>
        <w:adjustRightInd w:val="0"/>
        <w:snapToGrid w:val="0"/>
        <w:spacing w:line="360" w:lineRule="auto"/>
        <w:ind w:firstLineChars="200" w:firstLine="640"/>
        <w:rPr>
          <w:rFonts w:ascii="宋体" w:hAnsi="宋体" w:cs="宋体"/>
          <w:kern w:val="0"/>
          <w:sz w:val="32"/>
          <w:szCs w:val="32"/>
        </w:rPr>
      </w:pPr>
    </w:p>
    <w:p w:rsidR="00801F78" w:rsidRPr="00C22324" w:rsidRDefault="00610072" w:rsidP="00C22324">
      <w:pPr>
        <w:adjustRightInd w:val="0"/>
        <w:snapToGrid w:val="0"/>
        <w:spacing w:line="360" w:lineRule="auto"/>
        <w:ind w:firstLineChars="200" w:firstLine="640"/>
        <w:rPr>
          <w:rFonts w:ascii="宋体" w:hAnsi="宋体" w:cs="宋体"/>
          <w:kern w:val="0"/>
          <w:sz w:val="32"/>
          <w:szCs w:val="32"/>
        </w:rPr>
      </w:pPr>
      <w:r>
        <w:rPr>
          <w:rFonts w:ascii="宋体" w:hAnsi="宋体" w:cs="宋体"/>
          <w:noProof/>
          <w:kern w:val="0"/>
          <w:sz w:val="32"/>
          <w:szCs w:val="32"/>
        </w:rPr>
        <w:drawing>
          <wp:anchor distT="0" distB="0" distL="114300" distR="114300" simplePos="0" relativeHeight="251659264" behindDoc="1" locked="0" layoutInCell="1" allowOverlap="1">
            <wp:simplePos x="0" y="0"/>
            <wp:positionH relativeFrom="column">
              <wp:posOffset>-51435</wp:posOffset>
            </wp:positionH>
            <wp:positionV relativeFrom="paragraph">
              <wp:posOffset>139700</wp:posOffset>
            </wp:positionV>
            <wp:extent cx="5784850" cy="3619500"/>
            <wp:effectExtent l="19050" t="0" r="635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srcRect/>
                    <a:stretch>
                      <a:fillRect/>
                    </a:stretch>
                  </pic:blipFill>
                  <pic:spPr bwMode="auto">
                    <a:xfrm>
                      <a:off x="0" y="0"/>
                      <a:ext cx="5784850" cy="3619500"/>
                    </a:xfrm>
                    <a:prstGeom prst="rect">
                      <a:avLst/>
                    </a:prstGeom>
                    <a:noFill/>
                    <a:ln w="9525">
                      <a:noFill/>
                      <a:miter lim="800000"/>
                      <a:headEnd/>
                      <a:tailEnd/>
                    </a:ln>
                  </pic:spPr>
                </pic:pic>
              </a:graphicData>
            </a:graphic>
          </wp:anchor>
        </w:drawing>
      </w:r>
    </w:p>
    <w:p w:rsidR="00801F78" w:rsidRPr="00C22324" w:rsidRDefault="00801F78" w:rsidP="00801F78">
      <w:pPr>
        <w:pStyle w:val="2"/>
        <w:snapToGrid w:val="0"/>
        <w:spacing w:before="0" w:after="0" w:line="360" w:lineRule="auto"/>
        <w:rPr>
          <w:rFonts w:ascii="Times New Roman" w:hAnsi="Times New Roman" w:cs="Times New Roman"/>
        </w:rPr>
      </w:pPr>
    </w:p>
    <w:p w:rsidR="00801F78" w:rsidRPr="00C22324" w:rsidRDefault="00801F78" w:rsidP="00801F78">
      <w:pPr>
        <w:pStyle w:val="2"/>
        <w:snapToGrid w:val="0"/>
        <w:spacing w:before="0" w:after="0" w:line="360" w:lineRule="auto"/>
        <w:rPr>
          <w:rFonts w:ascii="Times New Roman" w:hAnsi="Times New Roman" w:cs="Times New Roman"/>
        </w:rPr>
      </w:pPr>
    </w:p>
    <w:p w:rsidR="00801F78" w:rsidRPr="00C22324" w:rsidRDefault="00801F78" w:rsidP="00801F78">
      <w:pPr>
        <w:snapToGrid w:val="0"/>
        <w:spacing w:line="360" w:lineRule="auto"/>
        <w:rPr>
          <w:rFonts w:ascii="Times New Roman" w:hAnsi="Times New Roman"/>
          <w:sz w:val="32"/>
          <w:szCs w:val="32"/>
        </w:rPr>
      </w:pPr>
    </w:p>
    <w:p w:rsidR="00801F78" w:rsidRPr="00C22324" w:rsidRDefault="00801F78" w:rsidP="00801F78">
      <w:pPr>
        <w:snapToGrid w:val="0"/>
        <w:spacing w:line="360" w:lineRule="auto"/>
        <w:rPr>
          <w:rFonts w:ascii="Times New Roman" w:hAnsi="Times New Roman"/>
          <w:sz w:val="32"/>
          <w:szCs w:val="32"/>
        </w:rPr>
      </w:pPr>
    </w:p>
    <w:p w:rsidR="00801F78" w:rsidRPr="00C22324" w:rsidRDefault="00801F78" w:rsidP="00801F78">
      <w:pPr>
        <w:snapToGrid w:val="0"/>
        <w:spacing w:line="360" w:lineRule="auto"/>
        <w:rPr>
          <w:rFonts w:ascii="Times New Roman" w:hAnsi="Times New Roman"/>
          <w:sz w:val="32"/>
          <w:szCs w:val="32"/>
        </w:rPr>
      </w:pPr>
    </w:p>
    <w:p w:rsidR="00801F78" w:rsidRPr="00C22324" w:rsidRDefault="00801F78" w:rsidP="00801F78">
      <w:pPr>
        <w:snapToGrid w:val="0"/>
        <w:spacing w:line="360" w:lineRule="auto"/>
        <w:rPr>
          <w:rFonts w:ascii="Times New Roman" w:hAnsi="Times New Roman"/>
          <w:sz w:val="32"/>
          <w:szCs w:val="32"/>
        </w:rPr>
      </w:pPr>
    </w:p>
    <w:p w:rsidR="00801F78" w:rsidRPr="00C22324" w:rsidRDefault="00801F78" w:rsidP="00801F78">
      <w:pPr>
        <w:snapToGrid w:val="0"/>
        <w:spacing w:line="360" w:lineRule="auto"/>
        <w:rPr>
          <w:rFonts w:ascii="Times New Roman" w:hAnsi="Times New Roman"/>
          <w:sz w:val="32"/>
          <w:szCs w:val="32"/>
        </w:rPr>
      </w:pPr>
    </w:p>
    <w:p w:rsidR="00801F78" w:rsidRPr="00C22324" w:rsidRDefault="00801F78" w:rsidP="00C22324">
      <w:pPr>
        <w:adjustRightInd w:val="0"/>
        <w:snapToGrid w:val="0"/>
        <w:spacing w:line="360" w:lineRule="auto"/>
        <w:ind w:firstLineChars="200" w:firstLine="640"/>
        <w:jc w:val="center"/>
        <w:rPr>
          <w:rFonts w:ascii="Times New Roman" w:hAnsi="Times New Roman"/>
          <w:sz w:val="32"/>
          <w:szCs w:val="32"/>
        </w:rPr>
      </w:pPr>
    </w:p>
    <w:p w:rsidR="00801F78" w:rsidRPr="00C22324" w:rsidRDefault="00801F78" w:rsidP="00C22324">
      <w:pPr>
        <w:adjustRightInd w:val="0"/>
        <w:snapToGrid w:val="0"/>
        <w:spacing w:line="360" w:lineRule="auto"/>
        <w:ind w:firstLineChars="200" w:firstLine="640"/>
        <w:jc w:val="center"/>
        <w:rPr>
          <w:rFonts w:ascii="Times New Roman" w:hAnsi="Times New Roman"/>
          <w:sz w:val="32"/>
          <w:szCs w:val="32"/>
        </w:rPr>
      </w:pPr>
    </w:p>
    <w:p w:rsidR="00610072" w:rsidRDefault="00610072" w:rsidP="00801F78">
      <w:pPr>
        <w:adjustRightInd w:val="0"/>
        <w:snapToGrid w:val="0"/>
        <w:spacing w:line="360" w:lineRule="auto"/>
        <w:jc w:val="center"/>
        <w:rPr>
          <w:rFonts w:ascii="楷体_GB2312" w:eastAsia="楷体_GB2312" w:hAnsiTheme="minorEastAsia"/>
          <w:color w:val="000000"/>
          <w:sz w:val="32"/>
          <w:szCs w:val="32"/>
        </w:rPr>
      </w:pPr>
    </w:p>
    <w:p w:rsidR="00610072" w:rsidRDefault="00610072" w:rsidP="00801F78">
      <w:pPr>
        <w:adjustRightInd w:val="0"/>
        <w:snapToGrid w:val="0"/>
        <w:spacing w:line="360" w:lineRule="auto"/>
        <w:jc w:val="center"/>
        <w:rPr>
          <w:rFonts w:ascii="楷体_GB2312" w:eastAsia="楷体_GB2312" w:hAnsiTheme="minorEastAsia"/>
          <w:color w:val="000000"/>
          <w:sz w:val="32"/>
          <w:szCs w:val="32"/>
        </w:rPr>
      </w:pPr>
    </w:p>
    <w:p w:rsidR="00610072" w:rsidRDefault="00610072" w:rsidP="00801F78">
      <w:pPr>
        <w:adjustRightInd w:val="0"/>
        <w:snapToGrid w:val="0"/>
        <w:spacing w:line="360" w:lineRule="auto"/>
        <w:jc w:val="center"/>
        <w:rPr>
          <w:rFonts w:ascii="楷体_GB2312" w:eastAsia="楷体_GB2312" w:hAnsiTheme="minorEastAsia"/>
          <w:color w:val="000000"/>
          <w:sz w:val="32"/>
          <w:szCs w:val="32"/>
        </w:rPr>
      </w:pPr>
    </w:p>
    <w:p w:rsidR="00610072" w:rsidRDefault="00610072" w:rsidP="00801F78">
      <w:pPr>
        <w:adjustRightInd w:val="0"/>
        <w:snapToGrid w:val="0"/>
        <w:spacing w:line="360" w:lineRule="auto"/>
        <w:jc w:val="center"/>
        <w:rPr>
          <w:rFonts w:ascii="楷体_GB2312" w:eastAsia="楷体_GB2312" w:hAnsiTheme="minorEastAsia"/>
          <w:color w:val="000000"/>
          <w:sz w:val="32"/>
          <w:szCs w:val="32"/>
        </w:rPr>
      </w:pPr>
    </w:p>
    <w:p w:rsidR="00610072" w:rsidRDefault="00610072" w:rsidP="00801F78">
      <w:pPr>
        <w:adjustRightInd w:val="0"/>
        <w:snapToGrid w:val="0"/>
        <w:spacing w:line="360" w:lineRule="auto"/>
        <w:jc w:val="center"/>
        <w:rPr>
          <w:rFonts w:ascii="楷体_GB2312" w:eastAsia="楷体_GB2312" w:hAnsiTheme="minorEastAsia"/>
          <w:color w:val="000000"/>
          <w:sz w:val="32"/>
          <w:szCs w:val="32"/>
        </w:rPr>
      </w:pPr>
    </w:p>
    <w:p w:rsidR="00801F78" w:rsidRPr="00C22324" w:rsidRDefault="00801F78" w:rsidP="00801F78">
      <w:pPr>
        <w:adjustRightInd w:val="0"/>
        <w:snapToGrid w:val="0"/>
        <w:spacing w:line="360" w:lineRule="auto"/>
        <w:jc w:val="center"/>
        <w:rPr>
          <w:rFonts w:ascii="楷体_GB2312" w:eastAsia="楷体_GB2312" w:hAnsiTheme="minorEastAsia"/>
          <w:color w:val="000000"/>
          <w:sz w:val="32"/>
          <w:szCs w:val="32"/>
        </w:rPr>
      </w:pPr>
      <w:r w:rsidRPr="00C22324">
        <w:rPr>
          <w:rFonts w:ascii="楷体_GB2312" w:eastAsia="楷体_GB2312" w:hAnsiTheme="minorEastAsia" w:hint="eastAsia"/>
          <w:color w:val="000000"/>
          <w:sz w:val="32"/>
          <w:szCs w:val="32"/>
        </w:rPr>
        <w:lastRenderedPageBreak/>
        <w:t>油气回收系统经济技术指标表</w:t>
      </w:r>
    </w:p>
    <w:tbl>
      <w:tblPr>
        <w:tblW w:w="8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32"/>
        <w:gridCol w:w="1565"/>
        <w:gridCol w:w="5864"/>
      </w:tblGrid>
      <w:tr w:rsidR="00801F78" w:rsidRPr="00C22324" w:rsidTr="009F09DE">
        <w:trPr>
          <w:trHeight w:val="415"/>
        </w:trPr>
        <w:tc>
          <w:tcPr>
            <w:tcW w:w="1532"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名称</w:t>
            </w:r>
          </w:p>
        </w:tc>
        <w:tc>
          <w:tcPr>
            <w:tcW w:w="1565"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型号</w:t>
            </w:r>
          </w:p>
        </w:tc>
        <w:tc>
          <w:tcPr>
            <w:tcW w:w="5864"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技术参数</w:t>
            </w:r>
          </w:p>
        </w:tc>
      </w:tr>
      <w:tr w:rsidR="00801F78" w:rsidRPr="00C22324" w:rsidTr="009F09DE">
        <w:trPr>
          <w:trHeight w:val="3392"/>
        </w:trPr>
        <w:tc>
          <w:tcPr>
            <w:tcW w:w="1532"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集中式真空泵</w:t>
            </w:r>
          </w:p>
        </w:tc>
        <w:tc>
          <w:tcPr>
            <w:tcW w:w="1565"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DR-160</w:t>
            </w:r>
          </w:p>
        </w:tc>
        <w:tc>
          <w:tcPr>
            <w:tcW w:w="5864"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可同时处理10只加油枪；</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适用于自吸式或潜油泵式加油机；</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功率：1HP；</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工作电压：220VAC</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工作频率：50/60Hz</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排量：750LPM</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进出口径：∮1″</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温度范围：-35 – 65℃</w:t>
            </w:r>
          </w:p>
        </w:tc>
      </w:tr>
      <w:tr w:rsidR="00801F78" w:rsidRPr="00C22324" w:rsidTr="009F09DE">
        <w:trPr>
          <w:trHeight w:val="3790"/>
        </w:trPr>
        <w:tc>
          <w:tcPr>
            <w:tcW w:w="1532"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油气回收油枪</w:t>
            </w:r>
          </w:p>
        </w:tc>
        <w:tc>
          <w:tcPr>
            <w:tcW w:w="1565"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ZVA200GVR</w:t>
            </w:r>
          </w:p>
        </w:tc>
        <w:tc>
          <w:tcPr>
            <w:tcW w:w="5864"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全铝枪体设计，碰撞时不产生火花</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缓冲峰值压力，防止计量表漏油</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严密的密封系统，消除渗漏专利设计的方位自封装置，当油嘴朝上时，油枪自封</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配套各种拉断阀，有效保护油站设备</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使用寿命超过100个月</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可维修性高，任何部件均可轻松更换</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自带旋转接头，节约其它配件支出</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无须繁杂的日常保养</w:t>
            </w:r>
          </w:p>
        </w:tc>
      </w:tr>
      <w:tr w:rsidR="00801F78" w:rsidRPr="00C22324" w:rsidTr="009F09DE">
        <w:trPr>
          <w:trHeight w:val="1280"/>
        </w:trPr>
        <w:tc>
          <w:tcPr>
            <w:tcW w:w="1532"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油气分离器</w:t>
            </w:r>
          </w:p>
        </w:tc>
        <w:tc>
          <w:tcPr>
            <w:tcW w:w="1565"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DR-VA807</w:t>
            </w:r>
          </w:p>
        </w:tc>
        <w:tc>
          <w:tcPr>
            <w:tcW w:w="5864" w:type="dxa"/>
            <w:vAlign w:val="center"/>
          </w:tcPr>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高可靠性，免维护</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无机械的移动部件，不需要电气连接</w:t>
            </w:r>
          </w:p>
          <w:p w:rsidR="00801F78" w:rsidRPr="00C22324" w:rsidRDefault="00801F78" w:rsidP="009F09DE">
            <w:pPr>
              <w:snapToGrid w:val="0"/>
              <w:spacing w:line="360" w:lineRule="auto"/>
              <w:jc w:val="center"/>
              <w:rPr>
                <w:rFonts w:asciiTheme="minorEastAsia" w:eastAsiaTheme="minorEastAsia" w:hAnsiTheme="minorEastAsia" w:cs="宋体"/>
                <w:bCs/>
                <w:color w:val="000000" w:themeColor="text1"/>
                <w:kern w:val="0"/>
                <w:sz w:val="32"/>
                <w:szCs w:val="32"/>
              </w:rPr>
            </w:pPr>
            <w:r w:rsidRPr="00C22324">
              <w:rPr>
                <w:rFonts w:asciiTheme="minorEastAsia" w:eastAsiaTheme="minorEastAsia" w:hAnsiTheme="minorEastAsia" w:cs="宋体" w:hint="eastAsia"/>
                <w:bCs/>
                <w:color w:val="000000" w:themeColor="text1"/>
                <w:kern w:val="0"/>
                <w:sz w:val="32"/>
                <w:szCs w:val="32"/>
              </w:rPr>
              <w:t>铝合金制造，坚固耐用</w:t>
            </w:r>
          </w:p>
        </w:tc>
      </w:tr>
    </w:tbl>
    <w:p w:rsidR="00D825AD" w:rsidRPr="00C22324" w:rsidRDefault="00D825AD" w:rsidP="00C22324">
      <w:pPr>
        <w:pStyle w:val="22Char013"/>
        <w:snapToGrid w:val="0"/>
        <w:ind w:firstLine="643"/>
        <w:rPr>
          <w:rFonts w:ascii="宋体" w:hAnsi="宋体" w:cs="Times New Roman"/>
          <w:b/>
          <w:sz w:val="32"/>
          <w:szCs w:val="32"/>
        </w:rPr>
      </w:pPr>
    </w:p>
    <w:p w:rsidR="00801F78" w:rsidRPr="00C22324" w:rsidRDefault="00D825AD" w:rsidP="00C22324">
      <w:pPr>
        <w:pStyle w:val="22Char013"/>
        <w:snapToGrid w:val="0"/>
        <w:ind w:firstLine="643"/>
        <w:rPr>
          <w:rFonts w:ascii="宋体" w:hAnsi="宋体" w:cs="Times New Roman"/>
          <w:b/>
          <w:sz w:val="32"/>
          <w:szCs w:val="32"/>
        </w:rPr>
      </w:pPr>
      <w:r w:rsidRPr="00C22324">
        <w:rPr>
          <w:rFonts w:ascii="宋体" w:hAnsi="宋体" w:cs="Times New Roman" w:hint="eastAsia"/>
          <w:b/>
          <w:sz w:val="32"/>
          <w:szCs w:val="32"/>
        </w:rPr>
        <w:t>二、环保“三同时”执行情况</w:t>
      </w:r>
    </w:p>
    <w:p w:rsidR="00801F78" w:rsidRPr="00C22324" w:rsidRDefault="001842D6"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项目环评</w:t>
      </w:r>
      <w:r w:rsidR="00801F78" w:rsidRPr="00C22324">
        <w:rPr>
          <w:rFonts w:ascii="宋体" w:hAnsi="宋体" w:cs="Times New Roman" w:hint="eastAsia"/>
          <w:sz w:val="32"/>
          <w:szCs w:val="32"/>
        </w:rPr>
        <w:t>申报的</w:t>
      </w:r>
      <w:r w:rsidRPr="00C22324">
        <w:rPr>
          <w:rFonts w:ascii="宋体" w:hAnsi="宋体" w:cs="Times New Roman" w:hint="eastAsia"/>
          <w:sz w:val="32"/>
          <w:szCs w:val="32"/>
        </w:rPr>
        <w:t>有关施工期噪声、固体废物等方面的污染防治措施和审批的主要</w:t>
      </w:r>
      <w:r w:rsidR="00801F78" w:rsidRPr="00C22324">
        <w:rPr>
          <w:rFonts w:ascii="宋体" w:hAnsi="宋体" w:cs="Times New Roman" w:hint="eastAsia"/>
          <w:sz w:val="32"/>
          <w:szCs w:val="32"/>
        </w:rPr>
        <w:t>内容</w:t>
      </w:r>
      <w:r w:rsidR="00501210">
        <w:rPr>
          <w:rFonts w:ascii="宋体" w:hAnsi="宋体" w:cs="Times New Roman" w:hint="eastAsia"/>
          <w:sz w:val="32"/>
          <w:szCs w:val="32"/>
        </w:rPr>
        <w:t>以及执行情况：</w:t>
      </w:r>
    </w:p>
    <w:p w:rsidR="00801F78" w:rsidRPr="00C22324" w:rsidRDefault="00801F78"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（1）项目加强施工期监管，采取洒水、覆盖、围挡、地面硬化的措</w:t>
      </w:r>
      <w:r w:rsidR="00501210">
        <w:rPr>
          <w:rFonts w:ascii="宋体" w:hAnsi="宋体" w:cs="Times New Roman" w:hint="eastAsia"/>
          <w:sz w:val="32"/>
          <w:szCs w:val="32"/>
        </w:rPr>
        <w:t>施，减少扬尘排放，避免大风情况下进行土方回填、装卸物料作业。</w:t>
      </w:r>
      <w:r w:rsidRPr="00C22324">
        <w:rPr>
          <w:rFonts w:ascii="宋体" w:hAnsi="宋体" w:cs="Times New Roman" w:hint="eastAsia"/>
          <w:sz w:val="32"/>
          <w:szCs w:val="32"/>
        </w:rPr>
        <w:t>施工期间的</w:t>
      </w:r>
      <w:r w:rsidR="00501210">
        <w:rPr>
          <w:rFonts w:ascii="宋体" w:hAnsi="宋体" w:cs="Times New Roman" w:hint="eastAsia"/>
          <w:sz w:val="32"/>
          <w:szCs w:val="32"/>
        </w:rPr>
        <w:t>生活污染处理后用施工场地的地面洒水扬尘或用于绿化，减少外排。</w:t>
      </w:r>
      <w:r w:rsidRPr="00C22324">
        <w:rPr>
          <w:rFonts w:ascii="宋体" w:hAnsi="宋体" w:cs="Times New Roman" w:hint="eastAsia"/>
          <w:sz w:val="32"/>
          <w:szCs w:val="32"/>
        </w:rPr>
        <w:t>通过合理布局，选用低噪音设备，采取加装减振垫</w:t>
      </w:r>
      <w:r w:rsidR="00501210">
        <w:rPr>
          <w:rFonts w:ascii="宋体" w:hAnsi="宋体" w:cs="Times New Roman" w:hint="eastAsia"/>
          <w:sz w:val="32"/>
          <w:szCs w:val="32"/>
        </w:rPr>
        <w:t>、设置隔声门窗、悬挂吸声材料等降噪措施确保厂界噪声达标排放。</w:t>
      </w:r>
      <w:r w:rsidRPr="00C22324">
        <w:rPr>
          <w:rFonts w:ascii="宋体" w:hAnsi="宋体" w:cs="Times New Roman" w:hint="eastAsia"/>
          <w:sz w:val="32"/>
          <w:szCs w:val="32"/>
        </w:rPr>
        <w:t>生活垃圾日常利用，碎石、土方等垃</w:t>
      </w:r>
      <w:r w:rsidR="00501210">
        <w:rPr>
          <w:rFonts w:ascii="宋体" w:hAnsi="宋体" w:cs="Times New Roman" w:hint="eastAsia"/>
          <w:sz w:val="32"/>
          <w:szCs w:val="32"/>
        </w:rPr>
        <w:t>圾采用地基填埋、铺路等方式提高利用率，项目施工结束后及时恢复地面并进行</w:t>
      </w:r>
      <w:r w:rsidRPr="00C22324">
        <w:rPr>
          <w:rFonts w:ascii="宋体" w:hAnsi="宋体" w:cs="Times New Roman" w:hint="eastAsia"/>
          <w:sz w:val="32"/>
          <w:szCs w:val="32"/>
        </w:rPr>
        <w:t>绿化。</w:t>
      </w:r>
    </w:p>
    <w:p w:rsidR="00801F78" w:rsidRPr="00C22324" w:rsidRDefault="00801F78"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2）项目加强清洁生产，减少无组织放心气排放，项目采用埋地式双层防渗防漏油罐，自封式加油机和油气回收系统，满足《大气污染物综合排放标准》（GB16297-1996）和《加油站大气污染物排放标准》（GB20952-2007）标准要求。项目以储罐区，加油区为边界分别设置50米卫生防护距离，在此范围内不得有居民、学校、医院等环境敏感目标。</w:t>
      </w:r>
    </w:p>
    <w:p w:rsidR="00801F78" w:rsidRPr="00C22324" w:rsidRDefault="00801F78"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（3）项目采取“雨污分流、清污分流、统一收集、分质处理”的原则处</w:t>
      </w:r>
      <w:r w:rsidR="007A6ED0">
        <w:rPr>
          <w:rFonts w:ascii="宋体" w:hAnsi="宋体" w:cs="Times New Roman" w:hint="eastAsia"/>
          <w:sz w:val="32"/>
          <w:szCs w:val="32"/>
        </w:rPr>
        <w:t>理废水。项目无生产废水排放，生活污染进入化粪池处理后农用（后期如政府部门有要求可接入城市污水处理管网）</w:t>
      </w:r>
      <w:r w:rsidRPr="00C22324">
        <w:rPr>
          <w:rFonts w:ascii="宋体" w:hAnsi="宋体" w:cs="Times New Roman" w:hint="eastAsia"/>
          <w:sz w:val="32"/>
          <w:szCs w:val="32"/>
        </w:rPr>
        <w:t>。</w:t>
      </w:r>
    </w:p>
    <w:p w:rsidR="00801F78" w:rsidRPr="00C22324" w:rsidRDefault="00801F78"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lastRenderedPageBreak/>
        <w:t>（4）项目加强出入车辆的管理，设置车辆进出减速，禁鸣喇叭标志，厂界噪声满足《工业企业厂界环境噪声排放标准》标准要求。</w:t>
      </w:r>
    </w:p>
    <w:p w:rsidR="00801F78" w:rsidRPr="00C22324" w:rsidRDefault="00801F78"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（5）项目采取“资源化、减量化”的原则处理固废。生活垃圾收集后由环卫部门统一</w:t>
      </w:r>
      <w:r w:rsidR="00501210">
        <w:rPr>
          <w:rFonts w:ascii="宋体" w:hAnsi="宋体" w:cs="Times New Roman" w:hint="eastAsia"/>
          <w:sz w:val="32"/>
          <w:szCs w:val="32"/>
        </w:rPr>
        <w:t>处理、废包装材料收集后外售、储油罐定期委托有资质的单位处理</w:t>
      </w:r>
      <w:r w:rsidRPr="00C22324">
        <w:rPr>
          <w:rFonts w:ascii="宋体" w:hAnsi="宋体" w:cs="Times New Roman" w:hint="eastAsia"/>
          <w:sz w:val="32"/>
          <w:szCs w:val="32"/>
        </w:rPr>
        <w:t>。</w:t>
      </w:r>
    </w:p>
    <w:p w:rsidR="001842D6" w:rsidRPr="00C22324" w:rsidRDefault="00801F78" w:rsidP="00501210">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（6</w:t>
      </w:r>
      <w:r w:rsidR="00501210">
        <w:rPr>
          <w:rFonts w:ascii="宋体" w:hAnsi="宋体" w:cs="Times New Roman" w:hint="eastAsia"/>
          <w:sz w:val="32"/>
          <w:szCs w:val="32"/>
        </w:rPr>
        <w:t>）项目</w:t>
      </w:r>
      <w:r w:rsidRPr="00C22324">
        <w:rPr>
          <w:rFonts w:ascii="宋体" w:hAnsi="宋体" w:cs="Times New Roman" w:hint="eastAsia"/>
          <w:sz w:val="32"/>
          <w:szCs w:val="32"/>
        </w:rPr>
        <w:t>建立</w:t>
      </w:r>
      <w:r w:rsidR="00501210">
        <w:rPr>
          <w:rFonts w:ascii="宋体" w:hAnsi="宋体" w:cs="Times New Roman" w:hint="eastAsia"/>
          <w:sz w:val="32"/>
          <w:szCs w:val="32"/>
        </w:rPr>
        <w:t>了环保管理制度和应急预案救援预案，</w:t>
      </w:r>
      <w:r w:rsidRPr="00C22324">
        <w:rPr>
          <w:rFonts w:ascii="宋体" w:hAnsi="宋体" w:cs="Times New Roman" w:hint="eastAsia"/>
          <w:sz w:val="32"/>
          <w:szCs w:val="32"/>
        </w:rPr>
        <w:t>在储存油罐和加油站入口处设</w:t>
      </w:r>
      <w:r w:rsidR="00501210">
        <w:rPr>
          <w:rFonts w:ascii="宋体" w:hAnsi="宋体" w:cs="Times New Roman" w:hint="eastAsia"/>
          <w:sz w:val="32"/>
          <w:szCs w:val="32"/>
        </w:rPr>
        <w:t>置警告牌，严禁烟火。加强职工安全教育、提高风险防范意识，</w:t>
      </w:r>
      <w:r w:rsidRPr="00C22324">
        <w:rPr>
          <w:rFonts w:ascii="宋体" w:hAnsi="宋体" w:cs="Times New Roman" w:hint="eastAsia"/>
          <w:sz w:val="32"/>
          <w:szCs w:val="32"/>
        </w:rPr>
        <w:t>加强油管和管道系统的管理和维修，防止跑、冒、滴、漏现场的发生，定期对加强站设备、贮罐、电器设施、消防设施进行检查。</w:t>
      </w:r>
    </w:p>
    <w:p w:rsidR="007F365C" w:rsidRPr="00C22324" w:rsidRDefault="007F365C" w:rsidP="00C22324">
      <w:pPr>
        <w:pStyle w:val="22Char013"/>
        <w:snapToGrid w:val="0"/>
        <w:ind w:firstLine="640"/>
        <w:rPr>
          <w:rFonts w:ascii="宋体" w:hAnsi="宋体" w:cs="Times New Roman"/>
          <w:sz w:val="32"/>
          <w:szCs w:val="32"/>
        </w:rPr>
      </w:pPr>
      <w:r w:rsidRPr="00C22324">
        <w:rPr>
          <w:rFonts w:ascii="宋体" w:hAnsi="宋体" w:cs="Times New Roman" w:hint="eastAsia"/>
          <w:sz w:val="32"/>
          <w:szCs w:val="32"/>
        </w:rPr>
        <w:t>本项目</w:t>
      </w:r>
      <w:r w:rsidR="00801F78" w:rsidRPr="00C22324">
        <w:rPr>
          <w:rFonts w:ascii="宋体" w:hAnsi="宋体" w:cs="Times New Roman" w:hint="eastAsia"/>
          <w:sz w:val="32"/>
          <w:szCs w:val="32"/>
        </w:rPr>
        <w:t>从</w:t>
      </w:r>
      <w:r w:rsidR="00DE7897">
        <w:rPr>
          <w:rFonts w:ascii="宋体" w:hAnsi="宋体" w:cs="Times New Roman" w:hint="eastAsia"/>
          <w:sz w:val="32"/>
          <w:szCs w:val="32"/>
        </w:rPr>
        <w:t>2018</w:t>
      </w:r>
      <w:r w:rsidR="00801F78" w:rsidRPr="00C22324">
        <w:rPr>
          <w:rFonts w:ascii="宋体" w:hAnsi="宋体" w:cs="Times New Roman" w:hint="eastAsia"/>
          <w:sz w:val="32"/>
          <w:szCs w:val="32"/>
        </w:rPr>
        <w:t>年6月18日起试生产。</w:t>
      </w:r>
      <w:r w:rsidRPr="00C22324">
        <w:rPr>
          <w:rFonts w:ascii="宋体" w:hAnsi="宋体" w:cs="Times New Roman" w:hint="eastAsia"/>
          <w:sz w:val="32"/>
          <w:szCs w:val="32"/>
        </w:rPr>
        <w:t>试生产期间请有资质的检测机构对噪声、固体废物等项目进行了检测，均符合国家标准。</w:t>
      </w:r>
    </w:p>
    <w:p w:rsidR="00801F78" w:rsidRPr="00C22324" w:rsidRDefault="00801F78" w:rsidP="00C22324">
      <w:pPr>
        <w:pStyle w:val="22Char013"/>
        <w:snapToGrid w:val="0"/>
        <w:ind w:firstLine="640"/>
        <w:rPr>
          <w:rFonts w:ascii="宋体" w:cs="Times New Roman"/>
          <w:sz w:val="32"/>
          <w:szCs w:val="32"/>
        </w:rPr>
      </w:pPr>
      <w:r w:rsidRPr="00C22324">
        <w:rPr>
          <w:rFonts w:ascii="宋体" w:hAnsi="宋体" w:cs="Times New Roman" w:hint="eastAsia"/>
          <w:sz w:val="32"/>
          <w:szCs w:val="32"/>
        </w:rPr>
        <w:t>（一）废气</w:t>
      </w:r>
    </w:p>
    <w:p w:rsidR="00801F78" w:rsidRPr="00C22324" w:rsidRDefault="00801F78" w:rsidP="00C22324">
      <w:pPr>
        <w:pStyle w:val="a3"/>
        <w:adjustRightInd w:val="0"/>
        <w:snapToGrid w:val="0"/>
        <w:spacing w:line="360" w:lineRule="auto"/>
        <w:ind w:firstLineChars="200" w:firstLine="640"/>
        <w:rPr>
          <w:sz w:val="32"/>
          <w:szCs w:val="32"/>
        </w:rPr>
      </w:pPr>
      <w:r w:rsidRPr="00C22324">
        <w:rPr>
          <w:rFonts w:ascii="宋体" w:hAnsi="宋体" w:cs="宋体" w:hint="eastAsia"/>
          <w:sz w:val="32"/>
          <w:szCs w:val="32"/>
        </w:rPr>
        <w:t>根据监测结果，</w:t>
      </w:r>
      <w:r w:rsidRPr="00C22324">
        <w:rPr>
          <w:rFonts w:hint="eastAsia"/>
          <w:sz w:val="32"/>
          <w:szCs w:val="32"/>
        </w:rPr>
        <w:t>无组织排放废气厂界监控点颗粒物浓度满足《大气污染物综合排放标准》（</w:t>
      </w:r>
      <w:r w:rsidRPr="00C22324">
        <w:rPr>
          <w:sz w:val="32"/>
          <w:szCs w:val="32"/>
        </w:rPr>
        <w:t>GB16297-1996</w:t>
      </w:r>
      <w:r w:rsidRPr="00C22324">
        <w:rPr>
          <w:rFonts w:hint="eastAsia"/>
          <w:sz w:val="32"/>
          <w:szCs w:val="32"/>
        </w:rPr>
        <w:t>）表</w:t>
      </w:r>
      <w:r w:rsidRPr="00C22324">
        <w:rPr>
          <w:sz w:val="32"/>
          <w:szCs w:val="32"/>
        </w:rPr>
        <w:t>2</w:t>
      </w:r>
      <w:r w:rsidRPr="00C22324">
        <w:rPr>
          <w:rFonts w:hint="eastAsia"/>
          <w:sz w:val="32"/>
          <w:szCs w:val="32"/>
        </w:rPr>
        <w:t>无组织排放监控浓度限值要求。</w:t>
      </w:r>
    </w:p>
    <w:p w:rsidR="00801F78" w:rsidRPr="00C22324" w:rsidRDefault="00801F78" w:rsidP="00C22324">
      <w:pPr>
        <w:numPr>
          <w:ilvl w:val="0"/>
          <w:numId w:val="1"/>
        </w:numPr>
        <w:spacing w:line="360" w:lineRule="auto"/>
        <w:ind w:firstLineChars="200" w:firstLine="640"/>
        <w:rPr>
          <w:rFonts w:ascii="宋体"/>
          <w:sz w:val="32"/>
          <w:szCs w:val="32"/>
        </w:rPr>
      </w:pPr>
      <w:r w:rsidRPr="00C22324">
        <w:rPr>
          <w:rFonts w:ascii="宋体" w:hAnsi="宋体" w:hint="eastAsia"/>
          <w:sz w:val="32"/>
          <w:szCs w:val="32"/>
        </w:rPr>
        <w:t>废水</w:t>
      </w:r>
    </w:p>
    <w:p w:rsidR="00801F78" w:rsidRDefault="00801F78" w:rsidP="00801F78">
      <w:pPr>
        <w:spacing w:line="360" w:lineRule="auto"/>
        <w:ind w:firstLine="420"/>
        <w:rPr>
          <w:rFonts w:hint="eastAsia"/>
          <w:sz w:val="32"/>
          <w:szCs w:val="32"/>
        </w:rPr>
      </w:pPr>
      <w:r w:rsidRPr="00C22324">
        <w:rPr>
          <w:rFonts w:hint="eastAsia"/>
          <w:sz w:val="32"/>
          <w:szCs w:val="32"/>
        </w:rPr>
        <w:t>监测期间，废水排放口废水中各污染物浓度均满足《污水排入城镇下水道水质标准》（</w:t>
      </w:r>
      <w:r w:rsidRPr="00C22324">
        <w:rPr>
          <w:sz w:val="32"/>
          <w:szCs w:val="32"/>
        </w:rPr>
        <w:t>GB/T 31962-2015</w:t>
      </w:r>
      <w:r w:rsidRPr="00C22324">
        <w:rPr>
          <w:rFonts w:hint="eastAsia"/>
          <w:sz w:val="32"/>
          <w:szCs w:val="32"/>
        </w:rPr>
        <w:t>）表</w:t>
      </w:r>
      <w:r w:rsidRPr="00C22324">
        <w:rPr>
          <w:sz w:val="32"/>
          <w:szCs w:val="32"/>
        </w:rPr>
        <w:t>1 B</w:t>
      </w:r>
      <w:r w:rsidRPr="00C22324">
        <w:rPr>
          <w:rFonts w:hint="eastAsia"/>
          <w:sz w:val="32"/>
          <w:szCs w:val="32"/>
        </w:rPr>
        <w:t>级标准。</w:t>
      </w:r>
    </w:p>
    <w:p w:rsidR="00784A40" w:rsidRPr="00784A40" w:rsidRDefault="00784A40" w:rsidP="00784A40">
      <w:pPr>
        <w:pStyle w:val="22Char013"/>
        <w:ind w:firstLine="560"/>
        <w:rPr>
          <w:rFonts w:hint="eastAsia"/>
          <w:sz w:val="28"/>
          <w:szCs w:val="28"/>
        </w:rPr>
      </w:pPr>
      <w:r w:rsidRPr="00784A40">
        <w:rPr>
          <w:rFonts w:hint="eastAsia"/>
          <w:sz w:val="28"/>
          <w:szCs w:val="28"/>
        </w:rPr>
        <w:t>（三）地下水</w:t>
      </w:r>
    </w:p>
    <w:p w:rsidR="00784A40" w:rsidRPr="00784A40" w:rsidRDefault="00784A40" w:rsidP="00784A40">
      <w:pPr>
        <w:pStyle w:val="22Char013"/>
        <w:ind w:firstLine="560"/>
        <w:rPr>
          <w:sz w:val="28"/>
          <w:szCs w:val="28"/>
        </w:rPr>
      </w:pPr>
      <w:r w:rsidRPr="00784A40">
        <w:rPr>
          <w:rFonts w:hint="eastAsia"/>
          <w:sz w:val="28"/>
          <w:szCs w:val="28"/>
        </w:rPr>
        <w:lastRenderedPageBreak/>
        <w:t>监测期间地下水各项指标符合国家标准。</w:t>
      </w:r>
    </w:p>
    <w:p w:rsidR="00801F78" w:rsidRPr="00C22324" w:rsidRDefault="00784A40" w:rsidP="00784A40">
      <w:pPr>
        <w:spacing w:line="360" w:lineRule="auto"/>
        <w:ind w:left="640"/>
        <w:rPr>
          <w:rFonts w:ascii="宋体"/>
          <w:sz w:val="32"/>
          <w:szCs w:val="32"/>
        </w:rPr>
      </w:pPr>
      <w:r>
        <w:rPr>
          <w:rFonts w:ascii="宋体" w:hAnsi="宋体" w:hint="eastAsia"/>
          <w:sz w:val="32"/>
          <w:szCs w:val="32"/>
        </w:rPr>
        <w:t>（）</w:t>
      </w:r>
      <w:r w:rsidR="00801F78" w:rsidRPr="00C22324">
        <w:rPr>
          <w:rFonts w:ascii="宋体" w:hAnsi="宋体" w:hint="eastAsia"/>
          <w:sz w:val="32"/>
          <w:szCs w:val="32"/>
        </w:rPr>
        <w:t>厂界噪声</w:t>
      </w:r>
    </w:p>
    <w:p w:rsidR="00C22324" w:rsidRPr="00C22324" w:rsidRDefault="00801F78" w:rsidP="00DE38C7">
      <w:pPr>
        <w:adjustRightInd w:val="0"/>
        <w:snapToGrid w:val="0"/>
        <w:spacing w:line="360" w:lineRule="auto"/>
        <w:ind w:firstLineChars="200" w:firstLine="640"/>
        <w:rPr>
          <w:sz w:val="32"/>
          <w:szCs w:val="32"/>
        </w:rPr>
      </w:pPr>
      <w:r w:rsidRPr="00C22324">
        <w:rPr>
          <w:rFonts w:ascii="宋体" w:hAnsi="宋体" w:cs="宋体" w:hint="eastAsia"/>
          <w:sz w:val="32"/>
          <w:szCs w:val="32"/>
        </w:rPr>
        <w:t>监测期间，</w:t>
      </w:r>
      <w:r w:rsidRPr="00C22324">
        <w:rPr>
          <w:rFonts w:hint="eastAsia"/>
          <w:sz w:val="32"/>
          <w:szCs w:val="32"/>
        </w:rPr>
        <w:t>项目厂界昼夜噪声测定值均满足《工业企业厂界环境噪声排放标准》（</w:t>
      </w:r>
      <w:r w:rsidRPr="00C22324">
        <w:rPr>
          <w:sz w:val="32"/>
          <w:szCs w:val="32"/>
        </w:rPr>
        <w:t>GB12348-2008</w:t>
      </w:r>
      <w:r w:rsidRPr="00C22324">
        <w:rPr>
          <w:rFonts w:hint="eastAsia"/>
          <w:sz w:val="32"/>
          <w:szCs w:val="32"/>
        </w:rPr>
        <w:t>）</w:t>
      </w:r>
      <w:r w:rsidRPr="00C22324">
        <w:rPr>
          <w:sz w:val="32"/>
          <w:szCs w:val="32"/>
        </w:rPr>
        <w:t>2</w:t>
      </w:r>
      <w:r w:rsidRPr="00C22324">
        <w:rPr>
          <w:rFonts w:hint="eastAsia"/>
          <w:sz w:val="32"/>
          <w:szCs w:val="32"/>
        </w:rPr>
        <w:t>类声功能区标准要求。</w:t>
      </w:r>
    </w:p>
    <w:p w:rsidR="00C22324" w:rsidRPr="00C22324" w:rsidRDefault="00C22324" w:rsidP="00C22324">
      <w:pPr>
        <w:pStyle w:val="22Char013"/>
        <w:ind w:firstLine="643"/>
        <w:rPr>
          <w:b/>
          <w:sz w:val="32"/>
          <w:szCs w:val="32"/>
        </w:rPr>
      </w:pPr>
      <w:r w:rsidRPr="00C22324">
        <w:rPr>
          <w:rFonts w:hint="eastAsia"/>
          <w:b/>
          <w:sz w:val="32"/>
          <w:szCs w:val="32"/>
        </w:rPr>
        <w:t>三、环境管理情况</w:t>
      </w:r>
    </w:p>
    <w:p w:rsidR="00DC473B" w:rsidRDefault="00CD23A7" w:rsidP="00314B9E">
      <w:pPr>
        <w:ind w:firstLine="660"/>
        <w:rPr>
          <w:sz w:val="32"/>
          <w:szCs w:val="32"/>
        </w:rPr>
      </w:pPr>
      <w:r>
        <w:rPr>
          <w:rFonts w:hint="eastAsia"/>
          <w:sz w:val="32"/>
          <w:szCs w:val="32"/>
        </w:rPr>
        <w:t>中石化作为有责任感的央企，坚持环保优先、绿色发展。环保管理机构和环保管理制度贯穿全系统。金沙湖加油站从施工起就明确了环保制度，在施工队伍和管理队伍中</w:t>
      </w:r>
      <w:r w:rsidR="001B5B58">
        <w:rPr>
          <w:rFonts w:hint="eastAsia"/>
          <w:sz w:val="32"/>
          <w:szCs w:val="32"/>
        </w:rPr>
        <w:t>落实环保责任人。编制了</w:t>
      </w:r>
      <w:r w:rsidR="00314B9E">
        <w:rPr>
          <w:rFonts w:hint="eastAsia"/>
          <w:sz w:val="32"/>
          <w:szCs w:val="32"/>
        </w:rPr>
        <w:t>《金沙湖加油站环境突发事件应急预案》。</w:t>
      </w:r>
    </w:p>
    <w:p w:rsidR="000D0E4B" w:rsidRDefault="00314B9E" w:rsidP="00CC4C28">
      <w:pPr>
        <w:pStyle w:val="22Char013"/>
        <w:ind w:firstLineChars="150" w:firstLine="482"/>
        <w:rPr>
          <w:b/>
          <w:sz w:val="32"/>
          <w:szCs w:val="32"/>
        </w:rPr>
      </w:pPr>
      <w:r w:rsidRPr="00314B9E">
        <w:rPr>
          <w:rFonts w:hint="eastAsia"/>
          <w:b/>
          <w:sz w:val="32"/>
          <w:szCs w:val="32"/>
        </w:rPr>
        <w:t>四、项目施工期、试生产期未收到任何投诉。</w:t>
      </w:r>
      <w:r>
        <w:rPr>
          <w:rFonts w:hint="eastAsia"/>
          <w:b/>
          <w:sz w:val="32"/>
          <w:szCs w:val="32"/>
        </w:rPr>
        <w:t>对照《建设项目竣工环境保护验收暂行办法》第八条，无不符合项。无违反《环境保护法》、《环境影响评价法》、《建设项目环境保护管理条例》等相关法律法规的</w:t>
      </w:r>
      <w:r w:rsidR="000D0E4B">
        <w:rPr>
          <w:rFonts w:hint="eastAsia"/>
          <w:b/>
          <w:sz w:val="32"/>
          <w:szCs w:val="32"/>
        </w:rPr>
        <w:t>环境违法行为。</w:t>
      </w:r>
    </w:p>
    <w:p w:rsidR="00DE38C7" w:rsidRPr="00DE38C7" w:rsidRDefault="00CC4C28" w:rsidP="00DE38C7">
      <w:pPr>
        <w:pStyle w:val="22Char013"/>
        <w:ind w:firstLineChars="150" w:firstLine="482"/>
        <w:rPr>
          <w:b/>
          <w:sz w:val="32"/>
          <w:szCs w:val="32"/>
        </w:rPr>
      </w:pPr>
      <w:r>
        <w:rPr>
          <w:rFonts w:hint="eastAsia"/>
          <w:b/>
          <w:sz w:val="32"/>
          <w:szCs w:val="32"/>
        </w:rPr>
        <w:t>五</w:t>
      </w:r>
      <w:r w:rsidR="00DE38C7" w:rsidRPr="00DE38C7">
        <w:rPr>
          <w:rFonts w:hint="eastAsia"/>
          <w:b/>
          <w:sz w:val="32"/>
          <w:szCs w:val="32"/>
        </w:rPr>
        <w:t>、验收组意见</w:t>
      </w:r>
    </w:p>
    <w:p w:rsidR="00DE38C7" w:rsidRDefault="00DE38C7" w:rsidP="00DE38C7">
      <w:pPr>
        <w:pStyle w:val="22Char013"/>
        <w:ind w:firstLineChars="150"/>
        <w:rPr>
          <w:sz w:val="32"/>
          <w:szCs w:val="32"/>
        </w:rPr>
      </w:pPr>
      <w:r w:rsidRPr="00DE38C7">
        <w:rPr>
          <w:rFonts w:hint="eastAsia"/>
          <w:sz w:val="32"/>
          <w:szCs w:val="32"/>
        </w:rPr>
        <w:t>1</w:t>
      </w:r>
      <w:r w:rsidRPr="00DE38C7">
        <w:rPr>
          <w:rFonts w:hint="eastAsia"/>
          <w:sz w:val="32"/>
          <w:szCs w:val="32"/>
        </w:rPr>
        <w:t>、</w:t>
      </w:r>
      <w:r w:rsidR="00674286">
        <w:rPr>
          <w:rFonts w:hint="eastAsia"/>
          <w:sz w:val="32"/>
          <w:szCs w:val="32"/>
        </w:rPr>
        <w:t>生活废水如要求</w:t>
      </w:r>
      <w:r>
        <w:rPr>
          <w:rFonts w:hint="eastAsia"/>
          <w:sz w:val="32"/>
          <w:szCs w:val="32"/>
        </w:rPr>
        <w:t>接入城市污水处理管网，需办理相关手续。</w:t>
      </w:r>
    </w:p>
    <w:p w:rsidR="00784A40" w:rsidRDefault="00DE38C7" w:rsidP="00DE38C7">
      <w:pPr>
        <w:pStyle w:val="22Char013"/>
        <w:ind w:firstLineChars="150"/>
        <w:rPr>
          <w:rFonts w:hint="eastAsia"/>
          <w:sz w:val="32"/>
          <w:szCs w:val="32"/>
        </w:rPr>
      </w:pPr>
      <w:r w:rsidRPr="00DE38C7">
        <w:rPr>
          <w:rFonts w:hint="eastAsia"/>
          <w:sz w:val="32"/>
          <w:szCs w:val="32"/>
        </w:rPr>
        <w:t>2</w:t>
      </w:r>
      <w:r w:rsidRPr="00DE38C7">
        <w:rPr>
          <w:rFonts w:hint="eastAsia"/>
          <w:sz w:val="32"/>
          <w:szCs w:val="32"/>
        </w:rPr>
        <w:t>、</w:t>
      </w:r>
      <w:r w:rsidR="00052175">
        <w:rPr>
          <w:rFonts w:hint="eastAsia"/>
          <w:sz w:val="32"/>
          <w:szCs w:val="32"/>
        </w:rPr>
        <w:t>根据环保部办公厅</w:t>
      </w:r>
      <w:r w:rsidR="00052175">
        <w:rPr>
          <w:rFonts w:hint="eastAsia"/>
          <w:sz w:val="32"/>
          <w:szCs w:val="32"/>
        </w:rPr>
        <w:t>2017</w:t>
      </w:r>
      <w:r w:rsidR="00052175">
        <w:rPr>
          <w:rFonts w:hint="eastAsia"/>
          <w:sz w:val="32"/>
          <w:szCs w:val="32"/>
        </w:rPr>
        <w:t>年</w:t>
      </w:r>
      <w:r w:rsidR="00052175">
        <w:rPr>
          <w:rFonts w:hint="eastAsia"/>
          <w:sz w:val="32"/>
          <w:szCs w:val="32"/>
        </w:rPr>
        <w:t>3</w:t>
      </w:r>
      <w:r w:rsidR="00052175">
        <w:rPr>
          <w:rFonts w:hint="eastAsia"/>
          <w:sz w:val="32"/>
          <w:szCs w:val="32"/>
        </w:rPr>
        <w:t>月发布的《加油站地下水污染防治技术指南（试行）》要求</w:t>
      </w:r>
      <w:r>
        <w:rPr>
          <w:rFonts w:hint="eastAsia"/>
          <w:sz w:val="32"/>
          <w:szCs w:val="32"/>
        </w:rPr>
        <w:t>，加油站需建有地下</w:t>
      </w:r>
      <w:r w:rsidR="00271C80">
        <w:rPr>
          <w:rFonts w:hint="eastAsia"/>
          <w:sz w:val="32"/>
          <w:szCs w:val="32"/>
        </w:rPr>
        <w:t>水</w:t>
      </w:r>
      <w:r>
        <w:rPr>
          <w:rFonts w:hint="eastAsia"/>
          <w:sz w:val="32"/>
          <w:szCs w:val="32"/>
        </w:rPr>
        <w:t>观察井</w:t>
      </w:r>
      <w:r w:rsidR="00784A40">
        <w:rPr>
          <w:rFonts w:hint="eastAsia"/>
          <w:sz w:val="32"/>
          <w:szCs w:val="32"/>
        </w:rPr>
        <w:t>。</w:t>
      </w:r>
    </w:p>
    <w:p w:rsidR="00B42B15" w:rsidRDefault="00DE38C7" w:rsidP="00DE38C7">
      <w:pPr>
        <w:pStyle w:val="22Char013"/>
        <w:ind w:firstLineChars="150"/>
        <w:rPr>
          <w:sz w:val="32"/>
          <w:szCs w:val="32"/>
        </w:rPr>
      </w:pPr>
      <w:r w:rsidRPr="00DE38C7">
        <w:rPr>
          <w:rFonts w:hint="eastAsia"/>
          <w:sz w:val="32"/>
          <w:szCs w:val="32"/>
        </w:rPr>
        <w:t>3</w:t>
      </w:r>
      <w:r w:rsidRPr="00DE38C7">
        <w:rPr>
          <w:rFonts w:hint="eastAsia"/>
          <w:sz w:val="32"/>
          <w:szCs w:val="32"/>
        </w:rPr>
        <w:t>、</w:t>
      </w:r>
      <w:r w:rsidR="00B42B15">
        <w:rPr>
          <w:rFonts w:hint="eastAsia"/>
          <w:sz w:val="32"/>
          <w:szCs w:val="32"/>
        </w:rPr>
        <w:t>对加油站作业区与周边居民区距离进行尺量，看是否与环评报告相符。</w:t>
      </w:r>
    </w:p>
    <w:p w:rsidR="00CC4C28" w:rsidRDefault="00DE38C7" w:rsidP="00DE38C7">
      <w:pPr>
        <w:pStyle w:val="22Char013"/>
        <w:ind w:firstLineChars="150"/>
        <w:rPr>
          <w:sz w:val="32"/>
          <w:szCs w:val="32"/>
        </w:rPr>
      </w:pPr>
      <w:r w:rsidRPr="00DE38C7">
        <w:rPr>
          <w:rFonts w:hint="eastAsia"/>
          <w:sz w:val="32"/>
          <w:szCs w:val="32"/>
        </w:rPr>
        <w:t>4</w:t>
      </w:r>
      <w:r w:rsidRPr="00DE38C7">
        <w:rPr>
          <w:rFonts w:hint="eastAsia"/>
          <w:sz w:val="32"/>
          <w:szCs w:val="32"/>
        </w:rPr>
        <w:t>、</w:t>
      </w:r>
      <w:r w:rsidR="004D593A">
        <w:rPr>
          <w:rFonts w:hint="eastAsia"/>
          <w:sz w:val="32"/>
          <w:szCs w:val="32"/>
        </w:rPr>
        <w:t>将消防验收、安全验收、</w:t>
      </w:r>
      <w:r w:rsidR="00CC4C28">
        <w:rPr>
          <w:rFonts w:hint="eastAsia"/>
          <w:sz w:val="32"/>
          <w:szCs w:val="32"/>
        </w:rPr>
        <w:t>油气回收验收、双层油罐检测报告单作为附件放在监测报告后。</w:t>
      </w:r>
    </w:p>
    <w:p w:rsidR="00CC4C28" w:rsidRDefault="00DE38C7" w:rsidP="00DE38C7">
      <w:pPr>
        <w:pStyle w:val="22Char013"/>
        <w:ind w:firstLineChars="150"/>
        <w:rPr>
          <w:sz w:val="32"/>
          <w:szCs w:val="32"/>
        </w:rPr>
      </w:pPr>
      <w:r w:rsidRPr="00DE38C7">
        <w:rPr>
          <w:rFonts w:hint="eastAsia"/>
          <w:sz w:val="32"/>
          <w:szCs w:val="32"/>
        </w:rPr>
        <w:t>5</w:t>
      </w:r>
      <w:r w:rsidRPr="00DE38C7">
        <w:rPr>
          <w:rFonts w:hint="eastAsia"/>
          <w:sz w:val="32"/>
          <w:szCs w:val="32"/>
        </w:rPr>
        <w:t>、</w:t>
      </w:r>
      <w:r w:rsidR="00CC4C28">
        <w:rPr>
          <w:rFonts w:hint="eastAsia"/>
          <w:sz w:val="32"/>
          <w:szCs w:val="32"/>
        </w:rPr>
        <w:t>修改报告中个别文字性错误。</w:t>
      </w:r>
    </w:p>
    <w:p w:rsidR="00DE38C7" w:rsidRPr="00DE38C7" w:rsidRDefault="00DE38C7" w:rsidP="00CC4C28">
      <w:pPr>
        <w:pStyle w:val="22Char013"/>
        <w:ind w:firstLineChars="150"/>
        <w:rPr>
          <w:sz w:val="32"/>
          <w:szCs w:val="32"/>
        </w:rPr>
      </w:pPr>
      <w:r w:rsidRPr="00DE38C7">
        <w:rPr>
          <w:rFonts w:hint="eastAsia"/>
          <w:sz w:val="32"/>
          <w:szCs w:val="32"/>
        </w:rPr>
        <w:lastRenderedPageBreak/>
        <w:t>6</w:t>
      </w:r>
      <w:r w:rsidRPr="00DE38C7">
        <w:rPr>
          <w:rFonts w:hint="eastAsia"/>
          <w:sz w:val="32"/>
          <w:szCs w:val="32"/>
        </w:rPr>
        <w:t>、补充</w:t>
      </w:r>
      <w:r w:rsidR="00CC4C28">
        <w:rPr>
          <w:rFonts w:hint="eastAsia"/>
          <w:sz w:val="32"/>
          <w:szCs w:val="32"/>
        </w:rPr>
        <w:t>相关现状照片。</w:t>
      </w:r>
    </w:p>
    <w:p w:rsidR="00DE38C7" w:rsidRPr="00DE38C7" w:rsidRDefault="00CC4C28" w:rsidP="00DE38C7">
      <w:pPr>
        <w:pStyle w:val="22Char013"/>
        <w:ind w:firstLineChars="150" w:firstLine="482"/>
        <w:rPr>
          <w:b/>
          <w:sz w:val="32"/>
          <w:szCs w:val="32"/>
        </w:rPr>
      </w:pPr>
      <w:r>
        <w:rPr>
          <w:rFonts w:hint="eastAsia"/>
          <w:b/>
          <w:sz w:val="32"/>
          <w:szCs w:val="32"/>
        </w:rPr>
        <w:t>六</w:t>
      </w:r>
      <w:r w:rsidR="00DE38C7" w:rsidRPr="00DE38C7">
        <w:rPr>
          <w:rFonts w:hint="eastAsia"/>
          <w:b/>
          <w:sz w:val="32"/>
          <w:szCs w:val="32"/>
        </w:rPr>
        <w:t>、验收结论</w:t>
      </w:r>
    </w:p>
    <w:p w:rsidR="00DE38C7" w:rsidRPr="00CC4C28" w:rsidRDefault="00DE38C7" w:rsidP="00CC4C28">
      <w:pPr>
        <w:pStyle w:val="22Char013"/>
        <w:ind w:firstLineChars="150"/>
        <w:rPr>
          <w:sz w:val="32"/>
          <w:szCs w:val="32"/>
        </w:rPr>
      </w:pPr>
      <w:r w:rsidRPr="00CC4C28">
        <w:rPr>
          <w:rFonts w:hint="eastAsia"/>
          <w:sz w:val="32"/>
          <w:szCs w:val="32"/>
        </w:rPr>
        <w:t>该项目建设过程中较好的执行了环境影响评价和“三同时”制度，基本落实了环评及其批复中的各项环保措施。验收监测期间废气、废水、厂界噪声均满足相关标准要求。在补充、落实上述专家意见的前提下，同意通过竣工环境保护验收。</w:t>
      </w:r>
    </w:p>
    <w:p w:rsidR="00DE38C7" w:rsidRPr="00DE38C7" w:rsidRDefault="00DE38C7" w:rsidP="00DE38C7">
      <w:pPr>
        <w:pStyle w:val="22Char013"/>
        <w:ind w:firstLineChars="150" w:firstLine="482"/>
        <w:rPr>
          <w:b/>
          <w:sz w:val="32"/>
          <w:szCs w:val="32"/>
        </w:rPr>
      </w:pPr>
      <w:r w:rsidRPr="00DE38C7">
        <w:rPr>
          <w:rFonts w:hint="eastAsia"/>
          <w:b/>
          <w:sz w:val="32"/>
          <w:szCs w:val="32"/>
        </w:rPr>
        <w:t>六、验收人员信息</w:t>
      </w:r>
    </w:p>
    <w:p w:rsidR="000D0E4B" w:rsidRPr="006D3852" w:rsidRDefault="00DE38C7" w:rsidP="006D3852">
      <w:pPr>
        <w:pStyle w:val="22Char013"/>
        <w:ind w:firstLineChars="150"/>
        <w:rPr>
          <w:sz w:val="32"/>
          <w:szCs w:val="32"/>
        </w:rPr>
      </w:pPr>
      <w:r w:rsidRPr="006D3852">
        <w:rPr>
          <w:rFonts w:hint="eastAsia"/>
          <w:sz w:val="32"/>
          <w:szCs w:val="32"/>
        </w:rPr>
        <w:t>参会单位及专家信息见附件。</w:t>
      </w:r>
    </w:p>
    <w:p w:rsidR="00CC4C28" w:rsidRDefault="000D0E4B" w:rsidP="00314B9E">
      <w:pPr>
        <w:pStyle w:val="22Char013"/>
        <w:ind w:firstLineChars="150" w:firstLine="482"/>
        <w:rPr>
          <w:b/>
          <w:sz w:val="32"/>
          <w:szCs w:val="32"/>
        </w:rPr>
      </w:pPr>
      <w:r>
        <w:rPr>
          <w:rFonts w:hint="eastAsia"/>
          <w:b/>
          <w:sz w:val="32"/>
          <w:szCs w:val="32"/>
        </w:rPr>
        <w:t xml:space="preserve">            </w:t>
      </w:r>
    </w:p>
    <w:p w:rsidR="00CC4C28" w:rsidRDefault="00CC4C28" w:rsidP="00CC4C28">
      <w:pPr>
        <w:pStyle w:val="22Char013"/>
        <w:ind w:firstLineChars="150" w:firstLine="482"/>
        <w:rPr>
          <w:b/>
          <w:sz w:val="32"/>
          <w:szCs w:val="32"/>
        </w:rPr>
      </w:pPr>
      <w:bookmarkStart w:id="6" w:name="_GoBack"/>
      <w:bookmarkEnd w:id="6"/>
    </w:p>
    <w:p w:rsidR="00CC4C28" w:rsidRDefault="00CC4C28" w:rsidP="00CC4C28">
      <w:pPr>
        <w:pStyle w:val="22Char013"/>
        <w:ind w:firstLineChars="150" w:firstLine="482"/>
        <w:rPr>
          <w:b/>
          <w:sz w:val="32"/>
          <w:szCs w:val="32"/>
        </w:rPr>
      </w:pPr>
    </w:p>
    <w:p w:rsidR="00CC4C28" w:rsidRDefault="00CC4C28" w:rsidP="00CC4C28">
      <w:pPr>
        <w:pStyle w:val="22Char013"/>
        <w:ind w:firstLineChars="450" w:firstLine="1446"/>
        <w:rPr>
          <w:b/>
          <w:sz w:val="32"/>
          <w:szCs w:val="32"/>
        </w:rPr>
      </w:pPr>
    </w:p>
    <w:p w:rsidR="000D0E4B" w:rsidRDefault="000D0E4B" w:rsidP="00FD19AE">
      <w:pPr>
        <w:pStyle w:val="22Char013"/>
        <w:ind w:firstLineChars="550" w:firstLine="1760"/>
        <w:rPr>
          <w:sz w:val="32"/>
          <w:szCs w:val="32"/>
        </w:rPr>
      </w:pPr>
      <w:r w:rsidRPr="000D0E4B">
        <w:rPr>
          <w:rFonts w:hint="eastAsia"/>
          <w:sz w:val="32"/>
          <w:szCs w:val="32"/>
        </w:rPr>
        <w:t xml:space="preserve"> </w:t>
      </w:r>
      <w:r w:rsidRPr="000D0E4B">
        <w:rPr>
          <w:rFonts w:hint="eastAsia"/>
          <w:sz w:val="32"/>
          <w:szCs w:val="32"/>
        </w:rPr>
        <w:t>中国石化销售有限公司江苏盐城石油分公司</w:t>
      </w:r>
    </w:p>
    <w:p w:rsidR="00F65950" w:rsidRPr="000D0E4B" w:rsidRDefault="00F65950" w:rsidP="00FD19AE">
      <w:pPr>
        <w:pStyle w:val="22Char013"/>
        <w:ind w:firstLineChars="550" w:firstLine="1760"/>
        <w:rPr>
          <w:sz w:val="32"/>
          <w:szCs w:val="32"/>
        </w:rPr>
      </w:pPr>
      <w:r>
        <w:rPr>
          <w:rFonts w:hint="eastAsia"/>
          <w:sz w:val="32"/>
          <w:szCs w:val="32"/>
        </w:rPr>
        <w:t xml:space="preserve">     </w:t>
      </w:r>
      <w:r w:rsidR="00477B57">
        <w:rPr>
          <w:rFonts w:hint="eastAsia"/>
          <w:sz w:val="32"/>
          <w:szCs w:val="32"/>
        </w:rPr>
        <w:t xml:space="preserve">       </w:t>
      </w:r>
      <w:r>
        <w:rPr>
          <w:rFonts w:hint="eastAsia"/>
          <w:sz w:val="32"/>
          <w:szCs w:val="32"/>
        </w:rPr>
        <w:t xml:space="preserve"> </w:t>
      </w:r>
      <w:r w:rsidR="00477B57">
        <w:rPr>
          <w:rFonts w:hint="eastAsia"/>
          <w:sz w:val="32"/>
          <w:szCs w:val="32"/>
        </w:rPr>
        <w:t>二</w:t>
      </w:r>
      <w:r w:rsidR="00477B57">
        <w:rPr>
          <w:rFonts w:hint="eastAsia"/>
          <w:sz w:val="32"/>
          <w:szCs w:val="32"/>
        </w:rPr>
        <w:t>0</w:t>
      </w:r>
      <w:r w:rsidR="00477B57">
        <w:rPr>
          <w:rFonts w:hint="eastAsia"/>
          <w:sz w:val="32"/>
          <w:szCs w:val="32"/>
        </w:rPr>
        <w:t>一八年</w:t>
      </w:r>
      <w:r w:rsidR="00AF2721">
        <w:rPr>
          <w:rFonts w:hint="eastAsia"/>
          <w:sz w:val="32"/>
          <w:szCs w:val="32"/>
        </w:rPr>
        <w:t>十一</w:t>
      </w:r>
      <w:r w:rsidR="00477B57">
        <w:rPr>
          <w:rFonts w:hint="eastAsia"/>
          <w:sz w:val="32"/>
          <w:szCs w:val="32"/>
        </w:rPr>
        <w:t>月</w:t>
      </w:r>
    </w:p>
    <w:sectPr w:rsidR="00F65950" w:rsidRPr="000D0E4B" w:rsidSect="008B00A4">
      <w:footerReference w:type="default" r:id="rId10"/>
      <w:pgSz w:w="11906" w:h="16838"/>
      <w:pgMar w:top="1440" w:right="1474"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68" w:rsidRDefault="00CB1468">
      <w:r>
        <w:separator/>
      </w:r>
    </w:p>
  </w:endnote>
  <w:endnote w:type="continuationSeparator" w:id="0">
    <w:p w:rsidR="00CB1468" w:rsidRDefault="00CB1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FA" w:rsidRDefault="003E14F7">
    <w:pPr>
      <w:pStyle w:val="a4"/>
      <w:jc w:val="center"/>
    </w:pPr>
    <w:r w:rsidRPr="003E14F7">
      <w:fldChar w:fldCharType="begin"/>
    </w:r>
    <w:r w:rsidR="00801F78">
      <w:instrText xml:space="preserve"> PAGE   \* MERGEFORMAT </w:instrText>
    </w:r>
    <w:r w:rsidRPr="003E14F7">
      <w:fldChar w:fldCharType="separate"/>
    </w:r>
    <w:r w:rsidR="00784A40" w:rsidRPr="00784A40">
      <w:rPr>
        <w:noProof/>
        <w:lang w:val="zh-CN"/>
      </w:rPr>
      <w:t>9</w:t>
    </w:r>
    <w:r>
      <w:rPr>
        <w:noProof/>
        <w:lang w:val="zh-CN"/>
      </w:rPr>
      <w:fldChar w:fldCharType="end"/>
    </w:r>
  </w:p>
  <w:p w:rsidR="00F803FA" w:rsidRDefault="00CB14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68" w:rsidRDefault="00CB1468">
      <w:r>
        <w:separator/>
      </w:r>
    </w:p>
  </w:footnote>
  <w:footnote w:type="continuationSeparator" w:id="0">
    <w:p w:rsidR="00CB1468" w:rsidRDefault="00CB1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ED224"/>
    <w:multiLevelType w:val="singleLevel"/>
    <w:tmpl w:val="5A4ED224"/>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F78"/>
    <w:rsid w:val="00052175"/>
    <w:rsid w:val="000712C6"/>
    <w:rsid w:val="00090A12"/>
    <w:rsid w:val="000D0E4B"/>
    <w:rsid w:val="000F46DA"/>
    <w:rsid w:val="001842D6"/>
    <w:rsid w:val="001B0704"/>
    <w:rsid w:val="001B5B58"/>
    <w:rsid w:val="001D3900"/>
    <w:rsid w:val="00271C80"/>
    <w:rsid w:val="002F3D3D"/>
    <w:rsid w:val="00313DEA"/>
    <w:rsid w:val="00314B9E"/>
    <w:rsid w:val="003E14F7"/>
    <w:rsid w:val="00477B57"/>
    <w:rsid w:val="004C0903"/>
    <w:rsid w:val="004D593A"/>
    <w:rsid w:val="004F079C"/>
    <w:rsid w:val="00501210"/>
    <w:rsid w:val="0053693C"/>
    <w:rsid w:val="00610072"/>
    <w:rsid w:val="00674286"/>
    <w:rsid w:val="0067491E"/>
    <w:rsid w:val="006D3852"/>
    <w:rsid w:val="00784A40"/>
    <w:rsid w:val="007A6ED0"/>
    <w:rsid w:val="007F365C"/>
    <w:rsid w:val="00801F78"/>
    <w:rsid w:val="008E0F78"/>
    <w:rsid w:val="0093180C"/>
    <w:rsid w:val="00A123B5"/>
    <w:rsid w:val="00A8271C"/>
    <w:rsid w:val="00AF2721"/>
    <w:rsid w:val="00B42B15"/>
    <w:rsid w:val="00C22324"/>
    <w:rsid w:val="00CA738F"/>
    <w:rsid w:val="00CB1468"/>
    <w:rsid w:val="00CC4C28"/>
    <w:rsid w:val="00CD23A7"/>
    <w:rsid w:val="00D825AD"/>
    <w:rsid w:val="00DC473B"/>
    <w:rsid w:val="00DE38C7"/>
    <w:rsid w:val="00DE7897"/>
    <w:rsid w:val="00EB7666"/>
    <w:rsid w:val="00EC7BF4"/>
    <w:rsid w:val="00EF4291"/>
    <w:rsid w:val="00F65950"/>
    <w:rsid w:val="00FD1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2Char013"/>
    <w:qFormat/>
    <w:rsid w:val="00801F78"/>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801F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801F78"/>
    <w:rPr>
      <w:rFonts w:asciiTheme="majorHAnsi" w:eastAsiaTheme="majorEastAsia" w:hAnsiTheme="majorHAnsi" w:cstheme="majorBidi"/>
      <w:b/>
      <w:bCs/>
      <w:sz w:val="32"/>
      <w:szCs w:val="32"/>
    </w:rPr>
  </w:style>
  <w:style w:type="paragraph" w:customStyle="1" w:styleId="22Char013">
    <w:name w:val="样式 样式 样式 样式 小四 左 首行缩进:  2 字符 + 首行缩进:  2 字符 Char + 右  0 字符1 + 首行缩...3"/>
    <w:basedOn w:val="a"/>
    <w:uiPriority w:val="99"/>
    <w:rsid w:val="00801F78"/>
    <w:pPr>
      <w:adjustRightInd w:val="0"/>
      <w:spacing w:line="360" w:lineRule="auto"/>
      <w:ind w:firstLineChars="200" w:firstLine="480"/>
      <w:jc w:val="left"/>
      <w:textAlignment w:val="baseline"/>
    </w:pPr>
    <w:rPr>
      <w:rFonts w:cs="宋体"/>
      <w:sz w:val="24"/>
      <w:szCs w:val="20"/>
    </w:rPr>
  </w:style>
  <w:style w:type="paragraph" w:styleId="a3">
    <w:name w:val="Plain Text"/>
    <w:basedOn w:val="a"/>
    <w:link w:val="Char"/>
    <w:uiPriority w:val="99"/>
    <w:rsid w:val="00801F78"/>
    <w:rPr>
      <w:sz w:val="28"/>
      <w:szCs w:val="20"/>
    </w:rPr>
  </w:style>
  <w:style w:type="character" w:customStyle="1" w:styleId="Char">
    <w:name w:val="纯文本 Char"/>
    <w:basedOn w:val="a0"/>
    <w:link w:val="a3"/>
    <w:uiPriority w:val="99"/>
    <w:rsid w:val="00801F78"/>
    <w:rPr>
      <w:rFonts w:ascii="Calibri" w:eastAsia="宋体" w:hAnsi="Calibri" w:cs="Times New Roman"/>
      <w:sz w:val="28"/>
      <w:szCs w:val="20"/>
    </w:rPr>
  </w:style>
  <w:style w:type="paragraph" w:styleId="a4">
    <w:name w:val="footer"/>
    <w:basedOn w:val="a"/>
    <w:link w:val="Char0"/>
    <w:uiPriority w:val="99"/>
    <w:rsid w:val="00801F78"/>
    <w:pPr>
      <w:tabs>
        <w:tab w:val="center" w:pos="4153"/>
        <w:tab w:val="right" w:pos="8306"/>
      </w:tabs>
      <w:snapToGrid w:val="0"/>
      <w:jc w:val="left"/>
    </w:pPr>
    <w:rPr>
      <w:sz w:val="18"/>
      <w:szCs w:val="18"/>
    </w:rPr>
  </w:style>
  <w:style w:type="character" w:customStyle="1" w:styleId="Char0">
    <w:name w:val="页脚 Char"/>
    <w:basedOn w:val="a0"/>
    <w:link w:val="a4"/>
    <w:uiPriority w:val="99"/>
    <w:rsid w:val="00801F78"/>
    <w:rPr>
      <w:rFonts w:ascii="Calibri" w:eastAsia="宋体" w:hAnsi="Calibri" w:cs="Times New Roman"/>
      <w:sz w:val="18"/>
      <w:szCs w:val="18"/>
    </w:rPr>
  </w:style>
  <w:style w:type="paragraph" w:styleId="a5">
    <w:name w:val="Balloon Text"/>
    <w:basedOn w:val="a"/>
    <w:link w:val="Char1"/>
    <w:uiPriority w:val="99"/>
    <w:semiHidden/>
    <w:unhideWhenUsed/>
    <w:rsid w:val="00801F78"/>
    <w:rPr>
      <w:sz w:val="18"/>
      <w:szCs w:val="18"/>
    </w:rPr>
  </w:style>
  <w:style w:type="character" w:customStyle="1" w:styleId="Char1">
    <w:name w:val="批注框文本 Char"/>
    <w:basedOn w:val="a0"/>
    <w:link w:val="a5"/>
    <w:uiPriority w:val="99"/>
    <w:semiHidden/>
    <w:rsid w:val="00801F78"/>
    <w:rPr>
      <w:rFonts w:ascii="Calibri" w:eastAsia="宋体" w:hAnsi="Calibri" w:cs="Times New Roman"/>
      <w:sz w:val="18"/>
      <w:szCs w:val="18"/>
    </w:rPr>
  </w:style>
  <w:style w:type="paragraph" w:styleId="a6">
    <w:name w:val="header"/>
    <w:basedOn w:val="a"/>
    <w:link w:val="Char2"/>
    <w:uiPriority w:val="99"/>
    <w:unhideWhenUsed/>
    <w:rsid w:val="00DE38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E38C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2018-07-26T07:59:00Z</dcterms:created>
  <dcterms:modified xsi:type="dcterms:W3CDTF">2018-12-19T02:28:00Z</dcterms:modified>
</cp:coreProperties>
</file>