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附件三：</w:t>
      </w:r>
    </w:p>
    <w:p>
      <w:pPr>
        <w:widowControl/>
        <w:shd w:val="clear" w:color="auto" w:fill="FFFFFF"/>
        <w:ind w:firstLine="3373" w:firstLineChars="1200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信用的等级分类标准及说明</w:t>
      </w:r>
      <w:bookmarkStart w:id="2" w:name="_GoBack"/>
      <w:bookmarkEnd w:id="2"/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</w:t>
      </w:r>
      <w:r>
        <w:rPr>
          <w:rFonts w:hint="eastAsia" w:ascii="宋体" w:hAnsi="宋体"/>
          <w:sz w:val="28"/>
          <w:szCs w:val="28"/>
        </w:rPr>
        <w:t>信用等级评价工作委员会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确立的医药生产企业评价指标体系，进行综合评分，其中</w:t>
      </w:r>
      <w:bookmarkStart w:id="0" w:name="_Toc141086757"/>
      <w:bookmarkEnd w:id="0"/>
      <w:bookmarkStart w:id="1" w:name="_Toc119753415"/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综合评分在90分（含90分）以上为AAA级；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综合评分在80分（含80分）--89分为AA级；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综合评分在70分（含70分）--79分为A级；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综合评分在60分（含60分）--69分为B级；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综合评分在60分（不含）以下为C级。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等级说明如下：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AAA级：企业信用状况极好。履行相关合同的能力和意愿极强，基本无违约风险；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AA级：企业信用状况良好。履行相关合同的能力和意愿很强，违约风险小；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A级：企业信用状况较好。履行相关合同的能力和意愿较强，违约风险较小；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B级：企业信用状况一般。履行相关合同的能力和意愿一般，存在一定的违约风险；</w:t>
      </w:r>
    </w:p>
    <w:p>
      <w:pPr>
        <w:widowControl/>
        <w:shd w:val="clear" w:color="auto" w:fill="FFFFFF"/>
        <w:ind w:firstLine="600"/>
        <w:jc w:val="left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C级：企业信用状况较差。履行相关合同的能力和意愿较差，存在较大的违约风险。</w:t>
      </w:r>
    </w:p>
    <w:sectPr>
      <w:footerReference r:id="rId3" w:type="default"/>
      <w:footerReference r:id="rId4" w:type="even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48F8"/>
    <w:rsid w:val="6C994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2018-07-06T02:22:28Z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